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3745"/>
        <w:gridCol w:w="1364"/>
        <w:gridCol w:w="1365"/>
        <w:gridCol w:w="4008"/>
      </w:tblGrid>
      <w:tr w:rsidR="000015CE" w:rsidRPr="00936B64" w14:paraId="6A3C4892" w14:textId="77777777" w:rsidTr="000015CE">
        <w:trPr>
          <w:trHeight w:hRule="exact" w:val="1735"/>
          <w:tblCellSpacing w:w="42" w:type="dxa"/>
          <w:jc w:val="center"/>
        </w:trPr>
        <w:tc>
          <w:tcPr>
            <w:tcW w:w="6592" w:type="dxa"/>
            <w:gridSpan w:val="3"/>
            <w:shd w:val="clear" w:color="auto" w:fill="FFFFFF" w:themeFill="background1"/>
          </w:tcPr>
          <w:p w14:paraId="3256777E" w14:textId="77777777" w:rsidR="00376B69" w:rsidRPr="000468DD" w:rsidRDefault="00376B69" w:rsidP="00F626BE">
            <w:pPr>
              <w:pStyle w:val="Heading1"/>
              <w:spacing w:after="60"/>
              <w:rPr>
                <w:sz w:val="20"/>
                <w:lang w:val="en-AU"/>
              </w:rPr>
            </w:pPr>
            <w:r w:rsidRPr="000468DD">
              <w:rPr>
                <w:sz w:val="20"/>
                <w:lang w:val="en-AU"/>
              </w:rPr>
              <w:t>Course Overview:</w:t>
            </w:r>
          </w:p>
          <w:p w14:paraId="00FF2514" w14:textId="573E2C6F" w:rsidR="00377DC8" w:rsidRPr="00E803B1" w:rsidRDefault="00E803B1" w:rsidP="003D71C3">
            <w:pPr>
              <w:pStyle w:val="Heading1"/>
              <w:spacing w:after="60"/>
              <w:rPr>
                <w:b w:val="0"/>
                <w:color w:val="auto"/>
                <w:sz w:val="16"/>
                <w:szCs w:val="18"/>
                <w:lang w:val="en-AU"/>
              </w:rPr>
            </w:pPr>
            <w:r w:rsidRPr="00E803B1">
              <w:rPr>
                <w:b w:val="0"/>
                <w:color w:val="auto"/>
                <w:sz w:val="16"/>
                <w:szCs w:val="18"/>
                <w:lang w:val="en-AU"/>
              </w:rPr>
              <w:t>This course will teach you how to participate, initiate, lead and report on a quality audit.</w:t>
            </w:r>
          </w:p>
          <w:p w14:paraId="3A32D80B" w14:textId="40EF8564" w:rsidR="00E803B1" w:rsidRPr="00E803B1" w:rsidRDefault="00E803B1" w:rsidP="00E803B1">
            <w:r w:rsidRPr="00E803B1">
              <w:rPr>
                <w:sz w:val="16"/>
                <w:lang w:val="en-AU"/>
              </w:rPr>
              <w:t>This qualification reflects the role of individuals who possess a sound theoretical knowledge base and use a range of specialised, technical or managerial competencies to plan, carry out and evaluate their own work and/or the work of a team.</w:t>
            </w:r>
          </w:p>
        </w:tc>
        <w:tc>
          <w:tcPr>
            <w:tcW w:w="4032" w:type="dxa"/>
            <w:shd w:val="clear" w:color="auto" w:fill="FFFFFF" w:themeFill="background1"/>
          </w:tcPr>
          <w:p w14:paraId="4B96EB79" w14:textId="77777777" w:rsidR="00376B69" w:rsidRPr="00936B64" w:rsidRDefault="00376B69" w:rsidP="00361E16">
            <w:pPr>
              <w:pStyle w:val="Heading1"/>
              <w:spacing w:after="60"/>
              <w:rPr>
                <w:sz w:val="20"/>
                <w:lang w:val="en-AU"/>
              </w:rPr>
            </w:pPr>
            <w:r w:rsidRPr="00936B64">
              <w:rPr>
                <w:sz w:val="20"/>
                <w:lang w:val="en-AU"/>
              </w:rPr>
              <w:t>Relevant Job Roles:</w:t>
            </w:r>
          </w:p>
          <w:p w14:paraId="657E1C3B" w14:textId="77777777" w:rsidR="003D71C3" w:rsidRPr="00E803B1" w:rsidRDefault="00E803B1" w:rsidP="00F626BE">
            <w:pPr>
              <w:pStyle w:val="ListParagraph"/>
              <w:numPr>
                <w:ilvl w:val="0"/>
                <w:numId w:val="1"/>
              </w:numPr>
              <w:ind w:left="142" w:hanging="142"/>
              <w:rPr>
                <w:sz w:val="16"/>
                <w:szCs w:val="16"/>
                <w:lang w:val="en-AU"/>
              </w:rPr>
            </w:pPr>
            <w:r>
              <w:rPr>
                <w:sz w:val="16"/>
                <w:szCs w:val="16"/>
              </w:rPr>
              <w:t>Quality Assurance Manager</w:t>
            </w:r>
          </w:p>
          <w:p w14:paraId="5B727B22" w14:textId="3A299181" w:rsidR="00E803B1" w:rsidRPr="00E803B1" w:rsidRDefault="00E803B1" w:rsidP="00F626BE">
            <w:pPr>
              <w:pStyle w:val="ListParagraph"/>
              <w:numPr>
                <w:ilvl w:val="0"/>
                <w:numId w:val="1"/>
              </w:numPr>
              <w:ind w:left="142" w:hanging="142"/>
              <w:rPr>
                <w:sz w:val="16"/>
                <w:szCs w:val="16"/>
                <w:lang w:val="en-AU"/>
              </w:rPr>
            </w:pPr>
            <w:r>
              <w:rPr>
                <w:sz w:val="16"/>
                <w:szCs w:val="16"/>
              </w:rPr>
              <w:t>Quality Facilitator</w:t>
            </w:r>
          </w:p>
          <w:p w14:paraId="67BFC1DA" w14:textId="77777777" w:rsidR="00E803B1" w:rsidRPr="00E803B1" w:rsidRDefault="00E803B1" w:rsidP="00F626BE">
            <w:pPr>
              <w:pStyle w:val="ListParagraph"/>
              <w:numPr>
                <w:ilvl w:val="0"/>
                <w:numId w:val="1"/>
              </w:numPr>
              <w:ind w:left="142" w:hanging="142"/>
              <w:rPr>
                <w:sz w:val="16"/>
                <w:szCs w:val="16"/>
                <w:lang w:val="en-AU"/>
              </w:rPr>
            </w:pPr>
            <w:r>
              <w:rPr>
                <w:sz w:val="16"/>
                <w:szCs w:val="16"/>
              </w:rPr>
              <w:t>Quality and Improvement Consultant</w:t>
            </w:r>
          </w:p>
          <w:p w14:paraId="34D854DC" w14:textId="43133CEC" w:rsidR="00E803B1" w:rsidRPr="00936B64" w:rsidRDefault="00E803B1" w:rsidP="00F626BE">
            <w:pPr>
              <w:pStyle w:val="ListParagraph"/>
              <w:numPr>
                <w:ilvl w:val="0"/>
                <w:numId w:val="1"/>
              </w:numPr>
              <w:ind w:left="142" w:hanging="142"/>
              <w:rPr>
                <w:sz w:val="16"/>
                <w:szCs w:val="16"/>
                <w:lang w:val="en-AU"/>
              </w:rPr>
            </w:pPr>
            <w:r>
              <w:rPr>
                <w:sz w:val="16"/>
                <w:szCs w:val="16"/>
              </w:rPr>
              <w:t>Service Quality System Support Analyst</w:t>
            </w:r>
          </w:p>
        </w:tc>
      </w:tr>
      <w:tr w:rsidR="000015CE" w:rsidRPr="00936B64" w14:paraId="444E9E0D" w14:textId="77777777" w:rsidTr="000015CE">
        <w:trPr>
          <w:trHeight w:hRule="exact" w:val="1701"/>
          <w:tblCellSpacing w:w="42" w:type="dxa"/>
          <w:jc w:val="center"/>
        </w:trPr>
        <w:tc>
          <w:tcPr>
            <w:tcW w:w="6592" w:type="dxa"/>
            <w:gridSpan w:val="3"/>
            <w:shd w:val="clear" w:color="auto" w:fill="FFFFFF" w:themeFill="background1"/>
          </w:tcPr>
          <w:p w14:paraId="23155370" w14:textId="427CA6AE" w:rsidR="000015CE" w:rsidRPr="003B7FA1" w:rsidRDefault="000015CE" w:rsidP="00376B69">
            <w:pPr>
              <w:pStyle w:val="Heading1"/>
              <w:spacing w:after="60"/>
              <w:rPr>
                <w:sz w:val="20"/>
                <w:lang w:val="en-AU"/>
              </w:rPr>
            </w:pPr>
            <w:r w:rsidRPr="003B7FA1">
              <w:rPr>
                <w:sz w:val="20"/>
                <w:lang w:val="en-AU"/>
              </w:rPr>
              <w:t>Distance Learning:</w:t>
            </w:r>
          </w:p>
          <w:p w14:paraId="30EE9214" w14:textId="6A512D3D" w:rsidR="000015CE" w:rsidRPr="003B7FA1" w:rsidRDefault="000015CE" w:rsidP="00376B69">
            <w:pPr>
              <w:pStyle w:val="Heading1"/>
              <w:spacing w:after="60"/>
              <w:rPr>
                <w:sz w:val="20"/>
                <w:lang w:val="en-AU"/>
              </w:rPr>
            </w:pPr>
            <w:r w:rsidRPr="00376B69">
              <w:rPr>
                <w:b w:val="0"/>
                <w:color w:val="auto"/>
                <w:sz w:val="16"/>
                <w:szCs w:val="18"/>
                <w:lang w:val="en-AU"/>
              </w:rPr>
              <w:t xml:space="preserve">Distance learning students can choose their electives and timeframe </w:t>
            </w:r>
            <w:r w:rsidR="008978E7">
              <w:rPr>
                <w:b w:val="0"/>
                <w:color w:val="auto"/>
                <w:sz w:val="16"/>
                <w:szCs w:val="18"/>
                <w:lang w:val="en-AU"/>
              </w:rPr>
              <w:t xml:space="preserve">in line with the qualification rules </w:t>
            </w:r>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4032" w:type="dxa"/>
            <w:vMerge w:val="restart"/>
            <w:shd w:val="clear" w:color="auto" w:fill="FFFFFF" w:themeFill="background1"/>
          </w:tcPr>
          <w:p w14:paraId="1CEB0E38" w14:textId="77777777" w:rsidR="000015CE" w:rsidRPr="00936B64" w:rsidRDefault="000015CE" w:rsidP="00376B69">
            <w:pPr>
              <w:pStyle w:val="Heading1"/>
              <w:spacing w:after="60"/>
              <w:rPr>
                <w:sz w:val="20"/>
                <w:lang w:val="en-AU"/>
              </w:rPr>
            </w:pPr>
            <w:r>
              <w:rPr>
                <w:sz w:val="20"/>
                <w:lang w:val="en-AU"/>
              </w:rPr>
              <w:t>Face-to-Face Schedule</w:t>
            </w:r>
            <w:r w:rsidRPr="00936B64">
              <w:rPr>
                <w:sz w:val="20"/>
                <w:lang w:val="en-AU"/>
              </w:rPr>
              <w:t>:</w:t>
            </w:r>
          </w:p>
          <w:p w14:paraId="4B66DD8F" w14:textId="34C3FDDB" w:rsidR="000015CE" w:rsidRPr="008978E7" w:rsidRDefault="000015CE" w:rsidP="008978E7">
            <w:pPr>
              <w:spacing w:after="40"/>
              <w:rPr>
                <w:sz w:val="20"/>
                <w:lang w:val="en-AU"/>
              </w:rPr>
            </w:pPr>
            <w:r w:rsidRPr="008978E7">
              <w:rPr>
                <w:sz w:val="16"/>
                <w:szCs w:val="16"/>
              </w:rPr>
              <w:t>For scheduled course dates, please contact Alana Kaye on 1300 25 26 25 or email training@alanakaye.edu.au</w:t>
            </w:r>
          </w:p>
        </w:tc>
      </w:tr>
      <w:tr w:rsidR="000015CE" w:rsidRPr="00936B64" w14:paraId="311940AE" w14:textId="77777777" w:rsidTr="005F4B08">
        <w:trPr>
          <w:trHeight w:hRule="exact" w:val="1390"/>
          <w:tblCellSpacing w:w="42" w:type="dxa"/>
          <w:jc w:val="center"/>
        </w:trPr>
        <w:tc>
          <w:tcPr>
            <w:tcW w:w="6592" w:type="dxa"/>
            <w:gridSpan w:val="3"/>
            <w:shd w:val="clear" w:color="auto" w:fill="FFFFFF" w:themeFill="background1"/>
          </w:tcPr>
          <w:p w14:paraId="7674887C" w14:textId="77777777" w:rsidR="000015CE" w:rsidRPr="000468DD" w:rsidRDefault="000015CE" w:rsidP="00376B69">
            <w:pPr>
              <w:pStyle w:val="Heading1"/>
              <w:spacing w:after="60"/>
              <w:rPr>
                <w:sz w:val="20"/>
                <w:lang w:val="en-AU"/>
              </w:rPr>
            </w:pPr>
            <w:r w:rsidRPr="000468DD">
              <w:rPr>
                <w:sz w:val="20"/>
                <w:lang w:val="en-AU"/>
              </w:rPr>
              <w:t>Entry Requirements:</w:t>
            </w:r>
          </w:p>
          <w:p w14:paraId="4A4B6AD6" w14:textId="77777777" w:rsidR="000015CE" w:rsidRDefault="000015CE" w:rsidP="005F4B08">
            <w:pPr>
              <w:spacing w:after="60"/>
              <w:rPr>
                <w:sz w:val="16"/>
                <w:lang w:val="en-AU"/>
              </w:rPr>
            </w:pPr>
            <w:r w:rsidRPr="00380988">
              <w:rPr>
                <w:sz w:val="16"/>
                <w:lang w:val="en-AU"/>
              </w:rPr>
              <w:t>There are no</w:t>
            </w:r>
            <w:r w:rsidR="005F4B08">
              <w:rPr>
                <w:sz w:val="16"/>
                <w:lang w:val="en-AU"/>
              </w:rPr>
              <w:t xml:space="preserve"> specific</w:t>
            </w:r>
            <w:r w:rsidRPr="00380988">
              <w:rPr>
                <w:sz w:val="16"/>
                <w:lang w:val="en-AU"/>
              </w:rPr>
              <w:t xml:space="preserve"> entry requirements. However, it is expected that students will have appropriate language, literacy and numeracy skills to complete the training and assessment requirements.</w:t>
            </w:r>
          </w:p>
          <w:p w14:paraId="0D6E8F00" w14:textId="4A4E705A" w:rsidR="005F4B08" w:rsidRPr="00FE020B" w:rsidRDefault="005F4B08" w:rsidP="005F4B08">
            <w:r>
              <w:rPr>
                <w:sz w:val="16"/>
                <w:lang w:val="en-AU"/>
              </w:rPr>
              <w:t>Students must be willing to participate in auditing projects.</w:t>
            </w:r>
          </w:p>
        </w:tc>
        <w:tc>
          <w:tcPr>
            <w:tcW w:w="4032" w:type="dxa"/>
            <w:vMerge/>
            <w:shd w:val="clear" w:color="auto" w:fill="FFFFFF" w:themeFill="background1"/>
          </w:tcPr>
          <w:p w14:paraId="6570BD41" w14:textId="77777777" w:rsidR="000015CE" w:rsidRPr="00936B64" w:rsidRDefault="000015CE" w:rsidP="00F626BE">
            <w:pPr>
              <w:pStyle w:val="Heading1"/>
              <w:spacing w:after="0"/>
              <w:rPr>
                <w:sz w:val="20"/>
                <w:lang w:val="en-AU"/>
              </w:rPr>
            </w:pPr>
          </w:p>
        </w:tc>
      </w:tr>
      <w:tr w:rsidR="00AD6B89" w:rsidRPr="008F711A" w14:paraId="1EA6E16F" w14:textId="77777777" w:rsidTr="000015CE">
        <w:trPr>
          <w:cantSplit/>
          <w:trHeight w:hRule="exact" w:val="1987"/>
          <w:tblCellSpacing w:w="42" w:type="dxa"/>
          <w:jc w:val="center"/>
        </w:trPr>
        <w:tc>
          <w:tcPr>
            <w:tcW w:w="5174" w:type="dxa"/>
            <w:gridSpan w:val="2"/>
            <w:shd w:val="clear" w:color="auto" w:fill="FFFFFF" w:themeFill="background1"/>
          </w:tcPr>
          <w:p w14:paraId="0F65D761" w14:textId="3D584C96" w:rsidR="00FB28F8" w:rsidRPr="000468DD" w:rsidRDefault="00FB28F8" w:rsidP="00FB28F8">
            <w:pPr>
              <w:pStyle w:val="Heading1"/>
              <w:spacing w:after="60"/>
              <w:rPr>
                <w:sz w:val="20"/>
                <w:lang w:val="en-AU"/>
              </w:rPr>
            </w:pPr>
            <w:r w:rsidRPr="000468DD">
              <w:rPr>
                <w:sz w:val="20"/>
                <w:lang w:val="en-AU"/>
              </w:rPr>
              <w:t>Recognition of Prior Learning (RPL):</w:t>
            </w:r>
          </w:p>
          <w:p w14:paraId="5B1549B0" w14:textId="51046247" w:rsidR="00F66F29" w:rsidRPr="003B7FA1" w:rsidRDefault="00FB28F8" w:rsidP="00FB28F8">
            <w:pPr>
              <w:pStyle w:val="Heading1"/>
              <w:spacing w:after="60"/>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450" w:type="dxa"/>
            <w:gridSpan w:val="2"/>
            <w:shd w:val="clear" w:color="auto" w:fill="FFFFFF" w:themeFill="background1"/>
          </w:tcPr>
          <w:p w14:paraId="4D052A65" w14:textId="77777777" w:rsidR="00FB28F8" w:rsidRPr="000468DD" w:rsidRDefault="00FB28F8" w:rsidP="00FB28F8">
            <w:pPr>
              <w:pStyle w:val="Heading1"/>
              <w:spacing w:after="60"/>
              <w:rPr>
                <w:sz w:val="20"/>
                <w:lang w:val="en-AU"/>
              </w:rPr>
            </w:pPr>
            <w:r w:rsidRPr="000468DD">
              <w:rPr>
                <w:sz w:val="20"/>
                <w:lang w:val="en-AU"/>
              </w:rPr>
              <w:t>Resources Required:</w:t>
            </w:r>
          </w:p>
          <w:p w14:paraId="403B6196" w14:textId="77777777" w:rsidR="00D14279" w:rsidRDefault="00FB28F8" w:rsidP="00FB28F8">
            <w:pPr>
              <w:pStyle w:val="Heading1"/>
              <w:spacing w:after="60"/>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FB28F8">
            <w:pPr>
              <w:pStyle w:val="Heading1"/>
              <w:spacing w:after="60"/>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FE020B" w:rsidRPr="008F711A" w14:paraId="1FBE2A6D" w14:textId="77777777" w:rsidTr="00D14279">
        <w:trPr>
          <w:cantSplit/>
          <w:trHeight w:hRule="exact" w:val="1142"/>
          <w:tblCellSpacing w:w="42" w:type="dxa"/>
          <w:jc w:val="center"/>
        </w:trPr>
        <w:tc>
          <w:tcPr>
            <w:tcW w:w="10708" w:type="dxa"/>
            <w:gridSpan w:val="4"/>
            <w:shd w:val="clear" w:color="auto" w:fill="FFFFFF" w:themeFill="background1"/>
          </w:tcPr>
          <w:p w14:paraId="52C734A2" w14:textId="77777777" w:rsidR="00FE020B" w:rsidRPr="000468DD" w:rsidRDefault="00FE020B" w:rsidP="00FB28F8">
            <w:pPr>
              <w:pStyle w:val="Heading1"/>
              <w:spacing w:after="60"/>
              <w:rPr>
                <w:sz w:val="20"/>
                <w:lang w:val="en-AU"/>
              </w:rPr>
            </w:pPr>
            <w:r w:rsidRPr="000468DD">
              <w:rPr>
                <w:sz w:val="20"/>
                <w:lang w:val="en-AU"/>
              </w:rPr>
              <w:t>Flexible Delivery Modes:</w:t>
            </w:r>
          </w:p>
          <w:p w14:paraId="1FC6913A" w14:textId="409BFB0F" w:rsidR="00FE020B" w:rsidRPr="003B7FA1" w:rsidRDefault="00FE020B" w:rsidP="00FE020B">
            <w:pPr>
              <w:pStyle w:val="Heading1"/>
              <w:spacing w:after="0"/>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D14279" w:rsidRPr="008F711A" w14:paraId="5FB19914" w14:textId="77777777" w:rsidTr="000015CE">
        <w:trPr>
          <w:cantSplit/>
          <w:trHeight w:val="907"/>
          <w:tblCellSpacing w:w="42" w:type="dxa"/>
          <w:jc w:val="center"/>
        </w:trPr>
        <w:tc>
          <w:tcPr>
            <w:tcW w:w="3757" w:type="dxa"/>
            <w:vMerge w:val="restart"/>
            <w:shd w:val="clear" w:color="auto" w:fill="FFFFFF" w:themeFill="background1"/>
            <w:noWrap/>
          </w:tcPr>
          <w:p w14:paraId="18363F84" w14:textId="77777777" w:rsidR="008978E7" w:rsidRDefault="008978E7" w:rsidP="008978E7">
            <w:pPr>
              <w:spacing w:after="60"/>
              <w:rPr>
                <w:b/>
                <w:color w:val="EB5B25" w:themeColor="text2"/>
                <w:sz w:val="20"/>
                <w:szCs w:val="22"/>
                <w:lang w:val="en-AU"/>
              </w:rPr>
            </w:pPr>
            <w:r w:rsidRPr="003B7FA1">
              <w:rPr>
                <w:b/>
                <w:color w:val="EB5B25" w:themeColor="text2"/>
                <w:sz w:val="20"/>
                <w:szCs w:val="22"/>
                <w:lang w:val="en-AU"/>
              </w:rPr>
              <w:t>Investment:</w:t>
            </w:r>
          </w:p>
          <w:p w14:paraId="742F61B9" w14:textId="77777777" w:rsidR="008978E7" w:rsidRPr="00A6195C" w:rsidRDefault="008978E7" w:rsidP="008978E7">
            <w:pPr>
              <w:spacing w:after="60"/>
              <w:rPr>
                <w:b/>
                <w:color w:val="EB5B25" w:themeColor="text2"/>
                <w:sz w:val="20"/>
                <w:szCs w:val="22"/>
                <w:lang w:val="en-AU"/>
              </w:rPr>
            </w:pPr>
          </w:p>
          <w:p w14:paraId="58C4EDF1" w14:textId="0398E8A9" w:rsidR="008978E7" w:rsidRDefault="008978E7" w:rsidP="008978E7">
            <w:pPr>
              <w:tabs>
                <w:tab w:val="right" w:pos="3686"/>
              </w:tabs>
              <w:rPr>
                <w:sz w:val="16"/>
                <w:lang w:val="en-AU"/>
              </w:rPr>
            </w:pPr>
            <w:r w:rsidRPr="00A6195C">
              <w:rPr>
                <w:b/>
                <w:bCs/>
                <w:sz w:val="16"/>
                <w:lang w:val="en-AU"/>
              </w:rPr>
              <w:t>Course Fee</w:t>
            </w:r>
            <w:r>
              <w:rPr>
                <w:sz w:val="16"/>
                <w:lang w:val="en-AU"/>
              </w:rPr>
              <w:t xml:space="preserve"> = </w:t>
            </w:r>
            <w:r>
              <w:rPr>
                <w:sz w:val="16"/>
                <w:lang w:val="en-AU"/>
              </w:rPr>
              <w:t>$4,000</w:t>
            </w:r>
            <w:r w:rsidRPr="003B7FA1">
              <w:rPr>
                <w:sz w:val="16"/>
                <w:lang w:val="en-AU"/>
              </w:rPr>
              <w:t>.00</w:t>
            </w:r>
            <w:r>
              <w:rPr>
                <w:sz w:val="16"/>
                <w:lang w:val="en-AU"/>
              </w:rPr>
              <w:t xml:space="preserve"> (This includes $400.00 non-refundable enrolment fee)</w:t>
            </w:r>
          </w:p>
          <w:p w14:paraId="15E91A95" w14:textId="77777777" w:rsidR="008978E7" w:rsidRPr="003B7FA1" w:rsidRDefault="008978E7" w:rsidP="008978E7">
            <w:pPr>
              <w:tabs>
                <w:tab w:val="right" w:pos="3686"/>
              </w:tabs>
              <w:rPr>
                <w:sz w:val="16"/>
                <w:lang w:val="en-AU"/>
              </w:rPr>
            </w:pPr>
          </w:p>
          <w:p w14:paraId="2AAD8C6A" w14:textId="74A0123F" w:rsidR="008978E7" w:rsidRPr="003B7FA1" w:rsidRDefault="008978E7" w:rsidP="008978E7">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1,5</w:t>
            </w:r>
            <w:r>
              <w:rPr>
                <w:sz w:val="16"/>
                <w:lang w:val="en-AU"/>
              </w:rPr>
              <w:t>00.00</w:t>
            </w:r>
          </w:p>
          <w:p w14:paraId="5EF08085" w14:textId="77777777" w:rsidR="008978E7" w:rsidRPr="003B7FA1" w:rsidRDefault="008978E7" w:rsidP="008978E7">
            <w:pPr>
              <w:rPr>
                <w:sz w:val="16"/>
                <w:lang w:val="en-AU"/>
              </w:rPr>
            </w:pPr>
          </w:p>
          <w:p w14:paraId="4B7F4921" w14:textId="77777777" w:rsidR="008978E7" w:rsidRPr="003B7FA1" w:rsidRDefault="008978E7" w:rsidP="008978E7">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6D255685" w14:textId="77777777" w:rsidR="008978E7" w:rsidRPr="003B7FA1" w:rsidRDefault="008978E7" w:rsidP="008978E7">
            <w:pPr>
              <w:rPr>
                <w:sz w:val="16"/>
                <w:lang w:val="en-AU"/>
              </w:rPr>
            </w:pPr>
          </w:p>
          <w:p w14:paraId="4C751CDC" w14:textId="77777777" w:rsidR="008978E7" w:rsidRPr="003B7FA1" w:rsidRDefault="008978E7" w:rsidP="008978E7">
            <w:pPr>
              <w:rPr>
                <w:sz w:val="16"/>
                <w:lang w:val="en-AU"/>
              </w:rPr>
            </w:pPr>
            <w:r w:rsidRPr="003B7FA1">
              <w:rPr>
                <w:sz w:val="16"/>
                <w:lang w:val="en-AU"/>
              </w:rPr>
              <w:t>Inclusions:</w:t>
            </w:r>
          </w:p>
          <w:p w14:paraId="43E0F72B" w14:textId="77777777" w:rsidR="008978E7" w:rsidRPr="00A037BC" w:rsidRDefault="008978E7" w:rsidP="008978E7">
            <w:pPr>
              <w:pStyle w:val="ListParagraph"/>
              <w:numPr>
                <w:ilvl w:val="0"/>
                <w:numId w:val="1"/>
              </w:numPr>
              <w:ind w:left="142" w:hanging="142"/>
              <w:rPr>
                <w:sz w:val="16"/>
                <w:szCs w:val="16"/>
              </w:rPr>
            </w:pPr>
            <w:r w:rsidRPr="00A037BC">
              <w:rPr>
                <w:sz w:val="16"/>
                <w:szCs w:val="16"/>
              </w:rPr>
              <w:t>Course learning and assessment material (excluding textbook/s)</w:t>
            </w:r>
          </w:p>
          <w:p w14:paraId="2876FEE5" w14:textId="77777777" w:rsidR="008978E7" w:rsidRPr="00A037BC" w:rsidRDefault="008978E7" w:rsidP="008978E7">
            <w:pPr>
              <w:pStyle w:val="ListParagraph"/>
              <w:numPr>
                <w:ilvl w:val="0"/>
                <w:numId w:val="1"/>
              </w:numPr>
              <w:ind w:left="142" w:hanging="142"/>
              <w:rPr>
                <w:sz w:val="16"/>
                <w:szCs w:val="16"/>
              </w:rPr>
            </w:pPr>
            <w:r w:rsidRPr="00A037BC">
              <w:rPr>
                <w:sz w:val="16"/>
                <w:szCs w:val="16"/>
              </w:rPr>
              <w:t>Coffee and tea</w:t>
            </w:r>
          </w:p>
          <w:p w14:paraId="166CBAF1" w14:textId="781D5B99" w:rsidR="00376B69" w:rsidRPr="007F0140" w:rsidRDefault="008978E7" w:rsidP="008978E7">
            <w:pPr>
              <w:pStyle w:val="ListParagraph"/>
              <w:numPr>
                <w:ilvl w:val="0"/>
                <w:numId w:val="1"/>
              </w:numPr>
              <w:ind w:left="142" w:hanging="142"/>
              <w:rPr>
                <w:sz w:val="16"/>
              </w:rPr>
            </w:pPr>
            <w:r w:rsidRPr="00A037BC">
              <w:rPr>
                <w:sz w:val="16"/>
                <w:szCs w:val="16"/>
              </w:rPr>
              <w:t>Certificat</w:t>
            </w:r>
            <w:r>
              <w:rPr>
                <w:sz w:val="16"/>
                <w:szCs w:val="16"/>
              </w:rPr>
              <w:t>ion upon successful completion</w:t>
            </w:r>
          </w:p>
        </w:tc>
        <w:tc>
          <w:tcPr>
            <w:tcW w:w="6867" w:type="dxa"/>
            <w:gridSpan w:val="3"/>
            <w:shd w:val="clear" w:color="auto" w:fill="FFFFFF" w:themeFill="background1"/>
            <w:noWrap/>
          </w:tcPr>
          <w:p w14:paraId="248B2AB8" w14:textId="42BCB7D4" w:rsidR="00376B69" w:rsidRPr="00376B69" w:rsidRDefault="00376B69" w:rsidP="00FE020B">
            <w:pPr>
              <w:spacing w:after="60"/>
              <w:rPr>
                <w:b/>
                <w:color w:val="EB5B25" w:themeColor="text2"/>
                <w:sz w:val="20"/>
                <w:szCs w:val="22"/>
                <w:lang w:val="en-AU"/>
              </w:rPr>
            </w:pPr>
            <w:r w:rsidRPr="00376B69">
              <w:rPr>
                <w:b/>
                <w:color w:val="EB5B25" w:themeColor="text2"/>
                <w:sz w:val="20"/>
                <w:szCs w:val="22"/>
                <w:lang w:val="en-AU"/>
              </w:rPr>
              <w:t>Payment Plans</w:t>
            </w:r>
            <w:r w:rsidR="00D14279">
              <w:rPr>
                <w:b/>
                <w:color w:val="EB5B25" w:themeColor="text2"/>
                <w:sz w:val="20"/>
                <w:szCs w:val="22"/>
                <w:lang w:val="en-AU"/>
              </w:rPr>
              <w:t>:</w:t>
            </w:r>
          </w:p>
          <w:p w14:paraId="6828B43A" w14:textId="77777777" w:rsidR="008978E7" w:rsidRPr="0098452F" w:rsidRDefault="008978E7" w:rsidP="008978E7">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71DA5311" w14:textId="38106613" w:rsidR="00376B69" w:rsidRPr="007F0140" w:rsidRDefault="00376B69" w:rsidP="00376B69">
            <w:pPr>
              <w:rPr>
                <w:b/>
                <w:color w:val="000000" w:themeColor="text1"/>
                <w:sz w:val="20"/>
                <w:lang w:val="en-AU"/>
              </w:rPr>
            </w:pPr>
          </w:p>
        </w:tc>
      </w:tr>
      <w:tr w:rsidR="00D14279" w:rsidRPr="008F711A" w14:paraId="297A017A" w14:textId="77777777" w:rsidTr="008978E7">
        <w:trPr>
          <w:cantSplit/>
          <w:trHeight w:val="1040"/>
          <w:tblCellSpacing w:w="42" w:type="dxa"/>
          <w:jc w:val="center"/>
        </w:trPr>
        <w:tc>
          <w:tcPr>
            <w:tcW w:w="3757" w:type="dxa"/>
            <w:vMerge/>
            <w:shd w:val="clear" w:color="auto" w:fill="FFFFFF" w:themeFill="background1"/>
            <w:noWrap/>
          </w:tcPr>
          <w:p w14:paraId="7BAD3444" w14:textId="77777777" w:rsidR="00376B69" w:rsidRPr="003B7FA1" w:rsidRDefault="00376B69" w:rsidP="00F626BE">
            <w:pPr>
              <w:spacing w:after="60"/>
              <w:rPr>
                <w:b/>
                <w:color w:val="EB5B25" w:themeColor="text2"/>
                <w:sz w:val="20"/>
                <w:szCs w:val="22"/>
                <w:lang w:val="en-AU"/>
              </w:rPr>
            </w:pPr>
          </w:p>
        </w:tc>
        <w:tc>
          <w:tcPr>
            <w:tcW w:w="6867" w:type="dxa"/>
            <w:gridSpan w:val="3"/>
            <w:shd w:val="clear" w:color="auto" w:fill="FFFFFF" w:themeFill="background1"/>
            <w:noWrap/>
          </w:tcPr>
          <w:p w14:paraId="3AD0058C" w14:textId="5CE50FAA" w:rsidR="00376B69" w:rsidRPr="00376B69" w:rsidRDefault="00376B69" w:rsidP="00376B69">
            <w:pPr>
              <w:spacing w:after="60"/>
              <w:rPr>
                <w:b/>
                <w:color w:val="EB5B25" w:themeColor="text2"/>
                <w:sz w:val="20"/>
                <w:szCs w:val="22"/>
                <w:lang w:val="en-AU"/>
              </w:rPr>
            </w:pPr>
            <w:r>
              <w:rPr>
                <w:b/>
                <w:color w:val="EB5B25" w:themeColor="text2"/>
                <w:sz w:val="20"/>
                <w:szCs w:val="22"/>
                <w:lang w:val="en-AU"/>
              </w:rPr>
              <w:t>Up-front Payment</w:t>
            </w:r>
            <w:r w:rsidR="00D14279">
              <w:rPr>
                <w:b/>
                <w:color w:val="EB5B25" w:themeColor="text2"/>
                <w:sz w:val="20"/>
                <w:szCs w:val="22"/>
                <w:lang w:val="en-AU"/>
              </w:rPr>
              <w:t>:</w:t>
            </w:r>
          </w:p>
          <w:p w14:paraId="3E1A33DE" w14:textId="77777777" w:rsidR="008978E7" w:rsidRPr="00544B06" w:rsidRDefault="008978E7" w:rsidP="008978E7">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3EBB10A3" w14:textId="08A5076A" w:rsidR="00376B69" w:rsidRPr="007F0140" w:rsidRDefault="00376B69" w:rsidP="00376B69">
            <w:pPr>
              <w:rPr>
                <w:b/>
                <w:color w:val="000000" w:themeColor="text1"/>
                <w:sz w:val="20"/>
                <w:lang w:val="en-AU"/>
              </w:rPr>
            </w:pPr>
          </w:p>
        </w:tc>
      </w:tr>
      <w:tr w:rsidR="00D14279" w:rsidRPr="008F711A" w14:paraId="7A426479" w14:textId="77777777" w:rsidTr="008978E7">
        <w:trPr>
          <w:cantSplit/>
          <w:trHeight w:val="501"/>
          <w:tblCellSpacing w:w="42" w:type="dxa"/>
          <w:jc w:val="center"/>
        </w:trPr>
        <w:tc>
          <w:tcPr>
            <w:tcW w:w="3757" w:type="dxa"/>
            <w:vMerge/>
            <w:shd w:val="clear" w:color="auto" w:fill="FFFFFF" w:themeFill="background1"/>
            <w:noWrap/>
          </w:tcPr>
          <w:p w14:paraId="48976B01" w14:textId="77777777" w:rsidR="00376B69" w:rsidRPr="003B7FA1" w:rsidRDefault="00376B69" w:rsidP="00F626BE">
            <w:pPr>
              <w:spacing w:after="60"/>
              <w:rPr>
                <w:b/>
                <w:color w:val="EB5B25" w:themeColor="text2"/>
                <w:sz w:val="20"/>
                <w:szCs w:val="22"/>
                <w:lang w:val="en-AU"/>
              </w:rPr>
            </w:pPr>
          </w:p>
        </w:tc>
        <w:tc>
          <w:tcPr>
            <w:tcW w:w="6867" w:type="dxa"/>
            <w:gridSpan w:val="3"/>
            <w:shd w:val="clear" w:color="auto" w:fill="FFFFFF" w:themeFill="background1"/>
            <w:noWrap/>
          </w:tcPr>
          <w:p w14:paraId="73F0DC5A" w14:textId="3F79A7E7" w:rsidR="00376B69" w:rsidRPr="007F0140" w:rsidRDefault="00376B69" w:rsidP="00D14279">
            <w:pPr>
              <w:rPr>
                <w:b/>
                <w:color w:val="000000" w:themeColor="text1"/>
                <w:sz w:val="20"/>
                <w:lang w:val="en-AU"/>
              </w:rPr>
            </w:pPr>
            <w:r w:rsidRPr="007F0140">
              <w:rPr>
                <w:b/>
                <w:color w:val="000000" w:themeColor="text1"/>
                <w:sz w:val="20"/>
                <w:lang w:val="en-AU"/>
              </w:rPr>
              <w:t xml:space="preserve"> </w:t>
            </w: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3D71C3">
        <w:trPr>
          <w:trHeight w:val="883"/>
          <w:tblCellSpacing w:w="56" w:type="dxa"/>
          <w:jc w:val="center"/>
        </w:trPr>
        <w:tc>
          <w:tcPr>
            <w:tcW w:w="4887" w:type="pct"/>
            <w:shd w:val="clear" w:color="auto" w:fill="FFFFFF" w:themeFill="background1"/>
          </w:tcPr>
          <w:p w14:paraId="2E839BC3" w14:textId="77777777" w:rsidR="00376B69" w:rsidRPr="000468DD" w:rsidRDefault="00376B69" w:rsidP="00376B69">
            <w:pPr>
              <w:pStyle w:val="Heading1"/>
              <w:spacing w:after="60"/>
              <w:rPr>
                <w:sz w:val="20"/>
                <w:lang w:val="en-AU"/>
              </w:rPr>
            </w:pPr>
            <w:r w:rsidRPr="000468DD">
              <w:rPr>
                <w:sz w:val="20"/>
                <w:lang w:val="en-AU"/>
              </w:rPr>
              <w:t>Pathways:</w:t>
            </w:r>
          </w:p>
          <w:p w14:paraId="410ED8AF" w14:textId="470CE5E7" w:rsidR="00376B69" w:rsidRPr="000015CE" w:rsidRDefault="005F4B08" w:rsidP="003D71C3">
            <w:pPr>
              <w:spacing w:after="60"/>
              <w:rPr>
                <w:sz w:val="16"/>
                <w:szCs w:val="16"/>
                <w:lang w:val="en-AU"/>
              </w:rPr>
            </w:pPr>
            <w:r>
              <w:rPr>
                <w:sz w:val="16"/>
                <w:lang w:val="en-AU"/>
              </w:rPr>
              <w:t>Not applicable.</w:t>
            </w:r>
          </w:p>
        </w:tc>
      </w:tr>
      <w:tr w:rsidR="007F0140" w:rsidRPr="008F711A" w14:paraId="33A1F26A" w14:textId="77777777" w:rsidTr="00E254B8">
        <w:trPr>
          <w:trHeight w:val="3890"/>
          <w:tblCellSpacing w:w="56" w:type="dxa"/>
          <w:jc w:val="center"/>
        </w:trPr>
        <w:tc>
          <w:tcPr>
            <w:tcW w:w="4887" w:type="pct"/>
            <w:shd w:val="clear" w:color="auto" w:fill="FFFFFF" w:themeFill="background1"/>
          </w:tcPr>
          <w:p w14:paraId="3E0AE6D8" w14:textId="544A4B62" w:rsidR="007F0140" w:rsidRPr="00376B69" w:rsidRDefault="007F0140" w:rsidP="00361E16">
            <w:pPr>
              <w:pStyle w:val="Heading1"/>
              <w:spacing w:after="60"/>
              <w:rPr>
                <w:sz w:val="20"/>
                <w:lang w:val="en-AU"/>
              </w:rPr>
            </w:pPr>
            <w:r w:rsidRPr="00376B69">
              <w:rPr>
                <w:sz w:val="20"/>
                <w:lang w:val="en-AU"/>
              </w:rPr>
              <w:t>Course Outline:</w:t>
            </w:r>
          </w:p>
          <w:p w14:paraId="4346CD6D" w14:textId="1E692C9D"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w:t>
            </w:r>
            <w:r w:rsidR="005F4B08">
              <w:rPr>
                <w:rFonts w:ascii="Verdana" w:hAnsi="Verdana" w:cstheme="minorHAnsi"/>
                <w:color w:val="auto"/>
                <w:sz w:val="16"/>
                <w:szCs w:val="16"/>
              </w:rPr>
              <w:t>is made up of 8</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7B0BA8D4" w14:textId="77777777" w:rsidR="003D71C3" w:rsidRDefault="003D71C3" w:rsidP="00D14279">
            <w:pPr>
              <w:pStyle w:val="ListParagraph"/>
              <w:numPr>
                <w:ilvl w:val="0"/>
                <w:numId w:val="1"/>
              </w:numPr>
              <w:spacing w:after="120"/>
              <w:ind w:left="142" w:hanging="142"/>
              <w:rPr>
                <w:sz w:val="16"/>
                <w:szCs w:val="16"/>
              </w:rPr>
            </w:pPr>
            <w:r>
              <w:rPr>
                <w:sz w:val="16"/>
                <w:szCs w:val="16"/>
              </w:rPr>
              <w:t>Core units – units you must complete as part of the qualification and</w:t>
            </w:r>
          </w:p>
          <w:p w14:paraId="51EB9668" w14:textId="706C0513"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03579315"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5F4B08">
              <w:rPr>
                <w:rFonts w:ascii="Verdana" w:hAnsi="Verdana"/>
                <w:color w:val="auto"/>
                <w:sz w:val="16"/>
                <w:szCs w:val="16"/>
              </w:rPr>
              <w:t>5161</w:t>
            </w:r>
            <w:r w:rsidR="00FC0EC6" w:rsidRPr="000E0F49">
              <w:rPr>
                <w:rFonts w:ascii="Verdana" w:hAnsi="Verdana"/>
                <w:color w:val="auto"/>
                <w:sz w:val="16"/>
                <w:szCs w:val="16"/>
              </w:rPr>
              <w:t>5</w:t>
            </w:r>
            <w:r w:rsidRPr="000E0F49">
              <w:rPr>
                <w:rFonts w:ascii="Verdana" w:hAnsi="Verdana"/>
                <w:color w:val="auto"/>
                <w:sz w:val="16"/>
                <w:szCs w:val="16"/>
              </w:rPr>
              <w:t xml:space="preserve"> </w:t>
            </w:r>
            <w:r w:rsidR="005F4B08">
              <w:rPr>
                <w:rFonts w:ascii="Verdana" w:hAnsi="Verdana"/>
                <w:color w:val="auto"/>
                <w:sz w:val="16"/>
                <w:szCs w:val="16"/>
              </w:rPr>
              <w:t>Diploma of Quality Auditing</w:t>
            </w:r>
            <w:r w:rsidR="00FC0EC6" w:rsidRPr="000E0F49">
              <w:rPr>
                <w:rFonts w:ascii="Verdana" w:hAnsi="Verdana"/>
                <w:color w:val="auto"/>
                <w:sz w:val="16"/>
                <w:szCs w:val="16"/>
              </w:rPr>
              <w:t xml:space="preserve"> </w:t>
            </w:r>
            <w:r w:rsidRPr="000E0F49">
              <w:rPr>
                <w:rFonts w:ascii="Verdana" w:hAnsi="Verdana" w:cstheme="minorHAnsi"/>
                <w:color w:val="auto"/>
                <w:sz w:val="16"/>
                <w:szCs w:val="16"/>
              </w:rPr>
              <w:t xml:space="preserve">has </w:t>
            </w:r>
            <w:r w:rsidR="005F4B08">
              <w:rPr>
                <w:rFonts w:ascii="Verdana" w:hAnsi="Verdana" w:cstheme="minorHAnsi"/>
                <w:color w:val="auto"/>
                <w:sz w:val="16"/>
                <w:szCs w:val="16"/>
              </w:rPr>
              <w:t>8</w:t>
            </w:r>
            <w:r w:rsidRPr="000E0F49">
              <w:rPr>
                <w:rFonts w:ascii="Verdana" w:hAnsi="Verdana" w:cstheme="minorHAnsi"/>
                <w:color w:val="auto"/>
                <w:sz w:val="16"/>
                <w:szCs w:val="16"/>
              </w:rPr>
              <w:t xml:space="preserve"> </w:t>
            </w:r>
            <w:r w:rsidR="005F4B08">
              <w:rPr>
                <w:rFonts w:ascii="Verdana" w:hAnsi="Verdana" w:cstheme="minorHAnsi"/>
                <w:color w:val="auto"/>
                <w:sz w:val="16"/>
                <w:szCs w:val="16"/>
              </w:rPr>
              <w:t>elective</w:t>
            </w:r>
            <w:r w:rsidRPr="000E0F49">
              <w:rPr>
                <w:rFonts w:ascii="Verdana" w:hAnsi="Verdana" w:cstheme="minorHAnsi"/>
                <w:color w:val="auto"/>
                <w:sz w:val="16"/>
                <w:szCs w:val="16"/>
              </w:rPr>
              <w:t xml:space="preserve"> </w:t>
            </w:r>
            <w:r w:rsidR="005F4B08">
              <w:rPr>
                <w:rFonts w:ascii="Verdana" w:hAnsi="Verdana" w:cstheme="minorHAnsi"/>
                <w:color w:val="auto"/>
                <w:sz w:val="16"/>
                <w:szCs w:val="16"/>
              </w:rPr>
              <w:t>choices to create this qualification. There are no core units. There are rules that apply to the selection of these 8 elective units. In the below table, we have identified the units listed as Group A or Group B. The rules are:</w:t>
            </w:r>
          </w:p>
          <w:p w14:paraId="2C2BAB66" w14:textId="59EB8E2E" w:rsidR="00FC0EC6" w:rsidRPr="000E0F49" w:rsidRDefault="005F4B08" w:rsidP="00D14279">
            <w:pPr>
              <w:pStyle w:val="ListParagraph"/>
              <w:numPr>
                <w:ilvl w:val="0"/>
                <w:numId w:val="1"/>
              </w:numPr>
              <w:ind w:left="142" w:hanging="142"/>
              <w:rPr>
                <w:sz w:val="16"/>
                <w:szCs w:val="16"/>
              </w:rPr>
            </w:pPr>
            <w:r>
              <w:rPr>
                <w:sz w:val="16"/>
                <w:szCs w:val="16"/>
              </w:rPr>
              <w:t>3</w:t>
            </w:r>
            <w:r w:rsidR="007F0140" w:rsidRPr="000E0F49">
              <w:rPr>
                <w:sz w:val="16"/>
                <w:szCs w:val="16"/>
              </w:rPr>
              <w:t xml:space="preserve"> units must be selected from </w:t>
            </w:r>
            <w:r w:rsidR="00B82704">
              <w:rPr>
                <w:sz w:val="16"/>
                <w:szCs w:val="16"/>
              </w:rPr>
              <w:t>Group A</w:t>
            </w:r>
            <w:r w:rsidR="007F0140" w:rsidRPr="000E0F49">
              <w:rPr>
                <w:sz w:val="16"/>
                <w:szCs w:val="16"/>
              </w:rPr>
              <w:t xml:space="preserve"> units listed below</w:t>
            </w:r>
          </w:p>
          <w:p w14:paraId="3CBA5B38" w14:textId="77777777" w:rsidR="00E254B8" w:rsidRDefault="00E254B8" w:rsidP="003D71C3">
            <w:pPr>
              <w:pStyle w:val="ListParagraph"/>
              <w:numPr>
                <w:ilvl w:val="0"/>
                <w:numId w:val="1"/>
              </w:numPr>
              <w:spacing w:after="120"/>
              <w:ind w:left="142" w:hanging="142"/>
              <w:rPr>
                <w:sz w:val="16"/>
                <w:szCs w:val="16"/>
              </w:rPr>
            </w:pPr>
            <w:r>
              <w:rPr>
                <w:sz w:val="16"/>
                <w:szCs w:val="16"/>
              </w:rPr>
              <w:t>In addition, 2 elective units must be selected from Group A or Group B or from a Diploma level qualification you have</w:t>
            </w:r>
          </w:p>
          <w:p w14:paraId="7416C378" w14:textId="0A82F0A8" w:rsidR="003D71C3" w:rsidRPr="003D71C3" w:rsidRDefault="00E254B8" w:rsidP="003D71C3">
            <w:pPr>
              <w:pStyle w:val="ListParagraph"/>
              <w:numPr>
                <w:ilvl w:val="0"/>
                <w:numId w:val="1"/>
              </w:numPr>
              <w:spacing w:after="120"/>
              <w:ind w:left="142" w:hanging="142"/>
              <w:rPr>
                <w:sz w:val="16"/>
                <w:szCs w:val="16"/>
              </w:rPr>
            </w:pPr>
            <w:r>
              <w:rPr>
                <w:sz w:val="16"/>
                <w:szCs w:val="16"/>
              </w:rPr>
              <w:t>Plus 3 units may be selected from either Group A or Group B</w:t>
            </w:r>
            <w:r w:rsidR="00FC0EC6" w:rsidRPr="003D71C3">
              <w:rPr>
                <w:sz w:val="16"/>
                <w:szCs w:val="16"/>
              </w:rPr>
              <w:t>.</w:t>
            </w:r>
            <w:r>
              <w:rPr>
                <w:sz w:val="16"/>
                <w:szCs w:val="16"/>
              </w:rPr>
              <w:t xml:space="preserve"> Alternatively, you can choose current Diploma level units from another current qualification.</w:t>
            </w:r>
          </w:p>
          <w:p w14:paraId="01D06AE8" w14:textId="122FA7C4" w:rsidR="007F0140" w:rsidRPr="007F25E3" w:rsidRDefault="00E254B8" w:rsidP="00A85434">
            <w:pPr>
              <w:jc w:val="both"/>
            </w:pPr>
            <w:r>
              <w:rPr>
                <w:rFonts w:cstheme="minorHAnsi"/>
                <w:sz w:val="16"/>
                <w:szCs w:val="16"/>
              </w:rPr>
              <w:t>1 unit may be selected from either a Certificate IV or Advanced Diploma qualification.</w:t>
            </w:r>
          </w:p>
        </w:tc>
      </w:tr>
    </w:tbl>
    <w:p w14:paraId="7991E1A2" w14:textId="77777777" w:rsidR="00380988" w:rsidRPr="00E254B8" w:rsidRDefault="00380988">
      <w:pPr>
        <w:rPr>
          <w:sz w:val="16"/>
        </w:rPr>
      </w:pPr>
    </w:p>
    <w:tbl>
      <w:tblPr>
        <w:tblStyle w:val="AlanaKayeTable2"/>
        <w:tblW w:w="500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61"/>
        <w:gridCol w:w="4775"/>
        <w:gridCol w:w="1412"/>
        <w:gridCol w:w="1412"/>
        <w:gridCol w:w="1412"/>
      </w:tblGrid>
      <w:tr w:rsidR="00FD2086" w:rsidRPr="00D50E9F" w14:paraId="4C7BC977" w14:textId="77777777" w:rsidTr="00E254B8">
        <w:trPr>
          <w:cnfStyle w:val="100000000000" w:firstRow="1" w:lastRow="0" w:firstColumn="0" w:lastColumn="0" w:oddVBand="0" w:evenVBand="0" w:oddHBand="0" w:evenHBand="0" w:firstRowFirstColumn="0" w:firstRowLastColumn="0" w:lastRowFirstColumn="0" w:lastRowLastColumn="0"/>
          <w:trHeight w:hRule="exact" w:val="340"/>
        </w:trPr>
        <w:tc>
          <w:tcPr>
            <w:tcW w:w="697" w:type="pct"/>
            <w:shd w:val="clear" w:color="auto" w:fill="008C8C"/>
            <w:noWrap/>
          </w:tcPr>
          <w:p w14:paraId="7D86FC7E" w14:textId="77777777" w:rsidR="00FD2086" w:rsidRPr="001A5BED" w:rsidRDefault="00FD2086" w:rsidP="00FC0EC6">
            <w:pPr>
              <w:jc w:val="center"/>
              <w:rPr>
                <w:color w:val="FFFFFF"/>
                <w:sz w:val="16"/>
              </w:rPr>
            </w:pPr>
            <w:r w:rsidRPr="001A5BED">
              <w:rPr>
                <w:color w:val="FFFFFF"/>
                <w:sz w:val="16"/>
              </w:rPr>
              <w:t>Unit Code</w:t>
            </w:r>
          </w:p>
        </w:tc>
        <w:tc>
          <w:tcPr>
            <w:tcW w:w="2280" w:type="pct"/>
            <w:shd w:val="clear" w:color="auto" w:fill="008C8C"/>
            <w:tcMar>
              <w:left w:w="170" w:type="dxa"/>
            </w:tcMar>
          </w:tcPr>
          <w:p w14:paraId="3E9164FC" w14:textId="5172A3AE" w:rsidR="00FD2086" w:rsidRPr="001A5BED" w:rsidRDefault="00B82704" w:rsidP="003D71C3">
            <w:pPr>
              <w:rPr>
                <w:color w:val="FFFFFF"/>
                <w:sz w:val="16"/>
              </w:rPr>
            </w:pPr>
            <w:r>
              <w:rPr>
                <w:color w:val="FFFFFF"/>
                <w:sz w:val="16"/>
              </w:rPr>
              <w:t xml:space="preserve">Group </w:t>
            </w:r>
            <w:r w:rsidR="003D71C3">
              <w:rPr>
                <w:color w:val="FFFFFF"/>
                <w:sz w:val="16"/>
              </w:rPr>
              <w:t>A</w:t>
            </w:r>
            <w:r>
              <w:rPr>
                <w:color w:val="FFFFFF"/>
                <w:sz w:val="16"/>
              </w:rPr>
              <w:t xml:space="preserve"> Elective</w:t>
            </w:r>
            <w:r w:rsidR="00FD2086">
              <w:rPr>
                <w:color w:val="FFFFFF"/>
                <w:sz w:val="16"/>
              </w:rPr>
              <w:t xml:space="preserve"> Units</w:t>
            </w:r>
          </w:p>
        </w:tc>
        <w:tc>
          <w:tcPr>
            <w:tcW w:w="674" w:type="pct"/>
            <w:shd w:val="clear" w:color="auto" w:fill="008C8C"/>
          </w:tcPr>
          <w:p w14:paraId="79D082C4" w14:textId="5C987D4C" w:rsidR="00FD2086" w:rsidRPr="001A5BED" w:rsidRDefault="00FD2086" w:rsidP="00EA05E0">
            <w:pPr>
              <w:jc w:val="center"/>
              <w:rPr>
                <w:color w:val="FFFFFF"/>
                <w:sz w:val="16"/>
              </w:rPr>
            </w:pPr>
            <w:r>
              <w:rPr>
                <w:color w:val="FFFFFF"/>
                <w:sz w:val="16"/>
              </w:rPr>
              <w:t>Face-to-Face</w:t>
            </w:r>
          </w:p>
        </w:tc>
        <w:tc>
          <w:tcPr>
            <w:tcW w:w="674" w:type="pct"/>
            <w:shd w:val="clear" w:color="auto" w:fill="008C8C"/>
          </w:tcPr>
          <w:p w14:paraId="12BCB528" w14:textId="677B21E7" w:rsidR="00FD2086" w:rsidRPr="001A5BED" w:rsidRDefault="00FD2086" w:rsidP="00EA05E0">
            <w:pPr>
              <w:jc w:val="center"/>
              <w:rPr>
                <w:color w:val="FFFFFF"/>
                <w:sz w:val="16"/>
              </w:rPr>
            </w:pPr>
            <w:r w:rsidRPr="001A5BED">
              <w:rPr>
                <w:color w:val="FFFFFF"/>
                <w:sz w:val="16"/>
              </w:rPr>
              <w:t>RPL</w:t>
            </w:r>
          </w:p>
        </w:tc>
        <w:tc>
          <w:tcPr>
            <w:tcW w:w="674" w:type="pct"/>
            <w:shd w:val="clear" w:color="auto" w:fill="008C8C"/>
          </w:tcPr>
          <w:p w14:paraId="6C7E8330" w14:textId="77777777" w:rsidR="00FD2086" w:rsidRPr="001A5BED" w:rsidRDefault="00FD2086" w:rsidP="00EA05E0">
            <w:pPr>
              <w:jc w:val="center"/>
              <w:rPr>
                <w:color w:val="FFFFFF"/>
                <w:sz w:val="16"/>
              </w:rPr>
            </w:pPr>
            <w:r w:rsidRPr="001A5BED">
              <w:rPr>
                <w:color w:val="FFFFFF"/>
                <w:sz w:val="16"/>
              </w:rPr>
              <w:t>Distance</w:t>
            </w:r>
          </w:p>
        </w:tc>
      </w:tr>
      <w:tr w:rsidR="00FD2086" w:rsidRPr="00D50E9F" w14:paraId="5412C419" w14:textId="77777777" w:rsidTr="00E254B8">
        <w:trPr>
          <w:trHeight w:val="18"/>
        </w:trPr>
        <w:tc>
          <w:tcPr>
            <w:tcW w:w="697" w:type="pct"/>
            <w:shd w:val="clear" w:color="auto" w:fill="FFFFFF"/>
            <w:noWrap/>
          </w:tcPr>
          <w:p w14:paraId="59087FC0" w14:textId="367837F8" w:rsidR="00FD2086" w:rsidRPr="001A5BED" w:rsidRDefault="00FD2086" w:rsidP="00E254B8">
            <w:pPr>
              <w:jc w:val="center"/>
              <w:rPr>
                <w:rFonts w:cstheme="minorHAnsi"/>
                <w:sz w:val="16"/>
              </w:rPr>
            </w:pPr>
            <w:r w:rsidRPr="00EF261C">
              <w:rPr>
                <w:rFonts w:cstheme="minorHAnsi"/>
                <w:sz w:val="16"/>
              </w:rPr>
              <w:t>BSB</w:t>
            </w:r>
            <w:r w:rsidR="00E254B8">
              <w:rPr>
                <w:rFonts w:cstheme="minorHAnsi"/>
                <w:sz w:val="16"/>
              </w:rPr>
              <w:t>AUD402</w:t>
            </w:r>
          </w:p>
        </w:tc>
        <w:tc>
          <w:tcPr>
            <w:tcW w:w="2280" w:type="pct"/>
            <w:shd w:val="clear" w:color="auto" w:fill="FFFFFF"/>
            <w:tcMar>
              <w:left w:w="170" w:type="dxa"/>
            </w:tcMar>
          </w:tcPr>
          <w:p w14:paraId="3619BDF2" w14:textId="73706F29" w:rsidR="00FD2086" w:rsidRPr="00FC0EC6" w:rsidRDefault="00E254B8" w:rsidP="00EA05E0">
            <w:pPr>
              <w:rPr>
                <w:rFonts w:cstheme="minorHAnsi"/>
                <w:sz w:val="16"/>
              </w:rPr>
            </w:pPr>
            <w:r>
              <w:rPr>
                <w:rFonts w:cstheme="minorHAnsi"/>
                <w:sz w:val="16"/>
              </w:rPr>
              <w:t>Participate in a quality audit</w:t>
            </w:r>
          </w:p>
        </w:tc>
        <w:tc>
          <w:tcPr>
            <w:tcW w:w="674" w:type="pct"/>
            <w:shd w:val="clear" w:color="auto" w:fill="FFFFFF"/>
          </w:tcPr>
          <w:p w14:paraId="54E0CCD2" w14:textId="06583367" w:rsidR="00FD2086" w:rsidRPr="00EF261C" w:rsidRDefault="00FD2086" w:rsidP="00EA05E0">
            <w:pPr>
              <w:jc w:val="center"/>
              <w:rPr>
                <w:color w:val="000000"/>
                <w:sz w:val="16"/>
              </w:rPr>
            </w:pPr>
            <w:r w:rsidRPr="00EF261C">
              <w:rPr>
                <w:color w:val="000000"/>
                <w:sz w:val="16"/>
              </w:rPr>
              <w:sym w:font="Wingdings" w:char="F0FC"/>
            </w:r>
          </w:p>
        </w:tc>
        <w:tc>
          <w:tcPr>
            <w:tcW w:w="674" w:type="pct"/>
            <w:shd w:val="clear" w:color="auto" w:fill="FFFFFF"/>
          </w:tcPr>
          <w:p w14:paraId="41532B36" w14:textId="4F358FF7" w:rsidR="00FD2086" w:rsidRPr="001A5BED" w:rsidRDefault="00FD2086" w:rsidP="00EA05E0">
            <w:pPr>
              <w:jc w:val="center"/>
              <w:rPr>
                <w:color w:val="000000"/>
                <w:sz w:val="16"/>
              </w:rPr>
            </w:pPr>
            <w:r w:rsidRPr="00EF261C">
              <w:rPr>
                <w:color w:val="000000"/>
                <w:sz w:val="16"/>
              </w:rPr>
              <w:sym w:font="Wingdings" w:char="F0FC"/>
            </w:r>
          </w:p>
        </w:tc>
        <w:tc>
          <w:tcPr>
            <w:tcW w:w="674" w:type="pct"/>
            <w:shd w:val="clear" w:color="auto" w:fill="FFFFFF"/>
          </w:tcPr>
          <w:p w14:paraId="2EAD93FB" w14:textId="2052F42D" w:rsidR="00FD2086" w:rsidRPr="001A5BED" w:rsidRDefault="00FD2086" w:rsidP="00EA05E0">
            <w:pPr>
              <w:jc w:val="center"/>
              <w:rPr>
                <w:color w:val="000000"/>
                <w:sz w:val="16"/>
              </w:rPr>
            </w:pPr>
            <w:r w:rsidRPr="00EF261C">
              <w:rPr>
                <w:color w:val="000000"/>
                <w:sz w:val="16"/>
              </w:rPr>
              <w:sym w:font="Wingdings" w:char="F0FC"/>
            </w:r>
          </w:p>
        </w:tc>
      </w:tr>
      <w:tr w:rsidR="00E254B8" w:rsidRPr="00D50E9F" w14:paraId="7271A0DB" w14:textId="77777777" w:rsidTr="00E254B8">
        <w:trPr>
          <w:trHeight w:val="18"/>
        </w:trPr>
        <w:tc>
          <w:tcPr>
            <w:tcW w:w="697" w:type="pct"/>
            <w:shd w:val="clear" w:color="auto" w:fill="FFFFFF"/>
            <w:noWrap/>
          </w:tcPr>
          <w:p w14:paraId="73B68EBD" w14:textId="0C34F31D" w:rsidR="00E254B8" w:rsidRPr="00EF261C" w:rsidRDefault="00E254B8" w:rsidP="00E254B8">
            <w:pPr>
              <w:jc w:val="center"/>
              <w:rPr>
                <w:rFonts w:cstheme="minorHAnsi"/>
                <w:sz w:val="16"/>
              </w:rPr>
            </w:pPr>
            <w:r>
              <w:rPr>
                <w:rFonts w:cstheme="minorHAnsi"/>
                <w:sz w:val="16"/>
              </w:rPr>
              <w:t>BSBAUD501</w:t>
            </w:r>
          </w:p>
        </w:tc>
        <w:tc>
          <w:tcPr>
            <w:tcW w:w="2280" w:type="pct"/>
            <w:shd w:val="clear" w:color="auto" w:fill="FFFFFF"/>
            <w:tcMar>
              <w:left w:w="170" w:type="dxa"/>
            </w:tcMar>
          </w:tcPr>
          <w:p w14:paraId="3D8EE0FF" w14:textId="665F5542" w:rsidR="00E254B8" w:rsidRDefault="00E254B8" w:rsidP="00EA05E0">
            <w:pPr>
              <w:rPr>
                <w:rFonts w:cstheme="minorHAnsi"/>
                <w:sz w:val="16"/>
              </w:rPr>
            </w:pPr>
            <w:r>
              <w:rPr>
                <w:rFonts w:cstheme="minorHAnsi"/>
                <w:sz w:val="16"/>
              </w:rPr>
              <w:t>Initiate a quality audit</w:t>
            </w:r>
          </w:p>
        </w:tc>
        <w:tc>
          <w:tcPr>
            <w:tcW w:w="674" w:type="pct"/>
            <w:shd w:val="clear" w:color="auto" w:fill="FFFFFF"/>
          </w:tcPr>
          <w:p w14:paraId="2D5A65B0" w14:textId="79C3F698"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7FFBDC9D" w14:textId="6DD8269E"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7C4B5E67" w14:textId="184E6FEA" w:rsidR="00E254B8" w:rsidRPr="00EF261C" w:rsidRDefault="00E254B8" w:rsidP="00EA05E0">
            <w:pPr>
              <w:jc w:val="center"/>
              <w:rPr>
                <w:color w:val="000000"/>
                <w:sz w:val="16"/>
              </w:rPr>
            </w:pPr>
            <w:r w:rsidRPr="00EF261C">
              <w:rPr>
                <w:color w:val="000000"/>
                <w:sz w:val="16"/>
              </w:rPr>
              <w:sym w:font="Wingdings" w:char="F0FC"/>
            </w:r>
          </w:p>
        </w:tc>
      </w:tr>
      <w:tr w:rsidR="00E254B8" w:rsidRPr="00D50E9F" w14:paraId="4B88559F" w14:textId="77777777" w:rsidTr="00E254B8">
        <w:trPr>
          <w:trHeight w:val="18"/>
        </w:trPr>
        <w:tc>
          <w:tcPr>
            <w:tcW w:w="697" w:type="pct"/>
            <w:shd w:val="clear" w:color="auto" w:fill="FFFFFF"/>
            <w:noWrap/>
          </w:tcPr>
          <w:p w14:paraId="06AD6519" w14:textId="48499A07" w:rsidR="00E254B8" w:rsidRDefault="00E254B8" w:rsidP="00E254B8">
            <w:pPr>
              <w:jc w:val="center"/>
              <w:rPr>
                <w:rFonts w:cstheme="minorHAnsi"/>
                <w:sz w:val="16"/>
              </w:rPr>
            </w:pPr>
            <w:r>
              <w:rPr>
                <w:rFonts w:cstheme="minorHAnsi"/>
                <w:sz w:val="16"/>
              </w:rPr>
              <w:t>BSBAUD503</w:t>
            </w:r>
          </w:p>
        </w:tc>
        <w:tc>
          <w:tcPr>
            <w:tcW w:w="2280" w:type="pct"/>
            <w:shd w:val="clear" w:color="auto" w:fill="FFFFFF"/>
            <w:tcMar>
              <w:left w:w="170" w:type="dxa"/>
            </w:tcMar>
          </w:tcPr>
          <w:p w14:paraId="450C3730" w14:textId="4AA6D7DB" w:rsidR="00E254B8" w:rsidRDefault="00E254B8" w:rsidP="00EA05E0">
            <w:pPr>
              <w:rPr>
                <w:rFonts w:cstheme="minorHAnsi"/>
                <w:sz w:val="16"/>
              </w:rPr>
            </w:pPr>
            <w:r>
              <w:rPr>
                <w:rFonts w:cstheme="minorHAnsi"/>
                <w:sz w:val="16"/>
              </w:rPr>
              <w:t>Lead a quality audit</w:t>
            </w:r>
          </w:p>
        </w:tc>
        <w:tc>
          <w:tcPr>
            <w:tcW w:w="674" w:type="pct"/>
            <w:shd w:val="clear" w:color="auto" w:fill="FFFFFF"/>
          </w:tcPr>
          <w:p w14:paraId="00AE14BE" w14:textId="571A1F1D"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315E6A82" w14:textId="202872FB"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0E28BA86" w14:textId="4ACFB9AF" w:rsidR="00E254B8" w:rsidRPr="00EF261C" w:rsidRDefault="00E254B8" w:rsidP="00EA05E0">
            <w:pPr>
              <w:jc w:val="center"/>
              <w:rPr>
                <w:color w:val="000000"/>
                <w:sz w:val="16"/>
              </w:rPr>
            </w:pPr>
            <w:r w:rsidRPr="00EF261C">
              <w:rPr>
                <w:color w:val="000000"/>
                <w:sz w:val="16"/>
              </w:rPr>
              <w:sym w:font="Wingdings" w:char="F0FC"/>
            </w:r>
          </w:p>
        </w:tc>
      </w:tr>
      <w:tr w:rsidR="00E254B8" w:rsidRPr="00D50E9F" w14:paraId="6F58AA8E" w14:textId="77777777" w:rsidTr="00E254B8">
        <w:trPr>
          <w:trHeight w:val="18"/>
        </w:trPr>
        <w:tc>
          <w:tcPr>
            <w:tcW w:w="697" w:type="pct"/>
            <w:shd w:val="clear" w:color="auto" w:fill="FFFFFF"/>
            <w:noWrap/>
          </w:tcPr>
          <w:p w14:paraId="2784D0D1" w14:textId="379407FE" w:rsidR="00E254B8" w:rsidRDefault="00E254B8" w:rsidP="00E254B8">
            <w:pPr>
              <w:jc w:val="center"/>
              <w:rPr>
                <w:rFonts w:cstheme="minorHAnsi"/>
                <w:sz w:val="16"/>
              </w:rPr>
            </w:pPr>
            <w:r>
              <w:rPr>
                <w:rFonts w:cstheme="minorHAnsi"/>
                <w:sz w:val="16"/>
              </w:rPr>
              <w:t>BSBAUD504</w:t>
            </w:r>
          </w:p>
        </w:tc>
        <w:tc>
          <w:tcPr>
            <w:tcW w:w="2280" w:type="pct"/>
            <w:shd w:val="clear" w:color="auto" w:fill="FFFFFF"/>
            <w:tcMar>
              <w:left w:w="170" w:type="dxa"/>
            </w:tcMar>
          </w:tcPr>
          <w:p w14:paraId="2D4BBC24" w14:textId="45035F3C" w:rsidR="00E254B8" w:rsidRDefault="00E254B8" w:rsidP="00EA05E0">
            <w:pPr>
              <w:rPr>
                <w:rFonts w:cstheme="minorHAnsi"/>
                <w:sz w:val="16"/>
              </w:rPr>
            </w:pPr>
            <w:r>
              <w:rPr>
                <w:rFonts w:cstheme="minorHAnsi"/>
                <w:sz w:val="16"/>
              </w:rPr>
              <w:t>Report on a quality audit</w:t>
            </w:r>
          </w:p>
        </w:tc>
        <w:tc>
          <w:tcPr>
            <w:tcW w:w="674" w:type="pct"/>
            <w:shd w:val="clear" w:color="auto" w:fill="FFFFFF"/>
          </w:tcPr>
          <w:p w14:paraId="4D7D7F3A" w14:textId="2DA25C2D"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6286BF37" w14:textId="48B6F1FB"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66629771" w14:textId="2D6DF689" w:rsidR="00E254B8" w:rsidRPr="00EF261C" w:rsidRDefault="00E254B8" w:rsidP="00EA05E0">
            <w:pPr>
              <w:jc w:val="center"/>
              <w:rPr>
                <w:color w:val="000000"/>
                <w:sz w:val="16"/>
              </w:rPr>
            </w:pPr>
            <w:r w:rsidRPr="00EF261C">
              <w:rPr>
                <w:color w:val="000000"/>
                <w:sz w:val="16"/>
              </w:rPr>
              <w:sym w:font="Wingdings" w:char="F0FC"/>
            </w:r>
          </w:p>
        </w:tc>
      </w:tr>
      <w:tr w:rsidR="00E254B8" w:rsidRPr="00D50E9F" w14:paraId="646DE1A5" w14:textId="77777777" w:rsidTr="00E254B8">
        <w:trPr>
          <w:trHeight w:val="18"/>
        </w:trPr>
        <w:tc>
          <w:tcPr>
            <w:tcW w:w="697" w:type="pct"/>
            <w:shd w:val="clear" w:color="auto" w:fill="FFFFFF"/>
            <w:noWrap/>
          </w:tcPr>
          <w:p w14:paraId="56A9813B" w14:textId="66765918" w:rsidR="00E254B8" w:rsidRDefault="00E254B8" w:rsidP="00E254B8">
            <w:pPr>
              <w:jc w:val="center"/>
              <w:rPr>
                <w:rFonts w:cstheme="minorHAnsi"/>
                <w:sz w:val="16"/>
              </w:rPr>
            </w:pPr>
            <w:r>
              <w:rPr>
                <w:rFonts w:cstheme="minorHAnsi"/>
                <w:sz w:val="16"/>
              </w:rPr>
              <w:t>BSBRSK501</w:t>
            </w:r>
          </w:p>
        </w:tc>
        <w:tc>
          <w:tcPr>
            <w:tcW w:w="2280" w:type="pct"/>
            <w:shd w:val="clear" w:color="auto" w:fill="FFFFFF"/>
            <w:tcMar>
              <w:left w:w="170" w:type="dxa"/>
            </w:tcMar>
          </w:tcPr>
          <w:p w14:paraId="3FCF9D42" w14:textId="6544EBF9" w:rsidR="00E254B8" w:rsidRDefault="00E254B8" w:rsidP="00EA05E0">
            <w:pPr>
              <w:rPr>
                <w:rFonts w:cstheme="minorHAnsi"/>
                <w:sz w:val="16"/>
              </w:rPr>
            </w:pPr>
            <w:r>
              <w:rPr>
                <w:rFonts w:cstheme="minorHAnsi"/>
                <w:sz w:val="16"/>
              </w:rPr>
              <w:t>Manage risk</w:t>
            </w:r>
          </w:p>
        </w:tc>
        <w:tc>
          <w:tcPr>
            <w:tcW w:w="674" w:type="pct"/>
            <w:shd w:val="clear" w:color="auto" w:fill="FFFFFF"/>
          </w:tcPr>
          <w:p w14:paraId="1AD0CB3D" w14:textId="04EABD00"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5711A9F7" w14:textId="3C616026"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5BB25B85" w14:textId="7EB25FA7" w:rsidR="00E254B8" w:rsidRPr="00EF261C" w:rsidRDefault="00E254B8" w:rsidP="00EA05E0">
            <w:pPr>
              <w:jc w:val="center"/>
              <w:rPr>
                <w:color w:val="000000"/>
                <w:sz w:val="16"/>
              </w:rPr>
            </w:pPr>
            <w:r w:rsidRPr="00EF261C">
              <w:rPr>
                <w:color w:val="000000"/>
                <w:sz w:val="16"/>
              </w:rPr>
              <w:sym w:font="Wingdings" w:char="F0FC"/>
            </w:r>
          </w:p>
        </w:tc>
      </w:tr>
      <w:tr w:rsidR="00E254B8" w:rsidRPr="00D50E9F" w14:paraId="3A7E1763" w14:textId="77777777" w:rsidTr="00E254B8">
        <w:trPr>
          <w:trHeight w:val="18"/>
        </w:trPr>
        <w:tc>
          <w:tcPr>
            <w:tcW w:w="697" w:type="pct"/>
            <w:shd w:val="clear" w:color="auto" w:fill="FFFFFF"/>
            <w:noWrap/>
          </w:tcPr>
          <w:p w14:paraId="0BB83163" w14:textId="125405DD" w:rsidR="00E254B8" w:rsidRDefault="00E254B8" w:rsidP="00E254B8">
            <w:pPr>
              <w:jc w:val="center"/>
              <w:rPr>
                <w:rFonts w:cstheme="minorHAnsi"/>
                <w:sz w:val="16"/>
              </w:rPr>
            </w:pPr>
            <w:r>
              <w:rPr>
                <w:rFonts w:cstheme="minorHAnsi"/>
                <w:sz w:val="16"/>
              </w:rPr>
              <w:t>BSBINM501</w:t>
            </w:r>
          </w:p>
        </w:tc>
        <w:tc>
          <w:tcPr>
            <w:tcW w:w="2280" w:type="pct"/>
            <w:shd w:val="clear" w:color="auto" w:fill="FFFFFF"/>
            <w:tcMar>
              <w:left w:w="170" w:type="dxa"/>
            </w:tcMar>
          </w:tcPr>
          <w:p w14:paraId="344B5F0F" w14:textId="3C719B0B" w:rsidR="00E254B8" w:rsidRDefault="00E254B8" w:rsidP="00EA05E0">
            <w:pPr>
              <w:rPr>
                <w:rFonts w:cstheme="minorHAnsi"/>
                <w:sz w:val="16"/>
              </w:rPr>
            </w:pPr>
            <w:r>
              <w:rPr>
                <w:rFonts w:cstheme="minorHAnsi"/>
                <w:sz w:val="16"/>
              </w:rPr>
              <w:t>Manage an information or knowledge management system</w:t>
            </w:r>
          </w:p>
        </w:tc>
        <w:tc>
          <w:tcPr>
            <w:tcW w:w="674" w:type="pct"/>
            <w:shd w:val="clear" w:color="auto" w:fill="FFFFFF"/>
          </w:tcPr>
          <w:p w14:paraId="4A8A8FDA" w14:textId="2508BFF4"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40BD6A06" w14:textId="5BB8ADC9" w:rsidR="00E254B8" w:rsidRPr="00EF261C" w:rsidRDefault="00E254B8" w:rsidP="00EA05E0">
            <w:pPr>
              <w:jc w:val="center"/>
              <w:rPr>
                <w:color w:val="000000"/>
                <w:sz w:val="16"/>
              </w:rPr>
            </w:pPr>
            <w:r w:rsidRPr="00EF261C">
              <w:rPr>
                <w:color w:val="000000"/>
                <w:sz w:val="16"/>
              </w:rPr>
              <w:sym w:font="Wingdings" w:char="F0FC"/>
            </w:r>
          </w:p>
        </w:tc>
        <w:tc>
          <w:tcPr>
            <w:tcW w:w="674" w:type="pct"/>
            <w:shd w:val="clear" w:color="auto" w:fill="FFFFFF"/>
          </w:tcPr>
          <w:p w14:paraId="3D993B20" w14:textId="56EFD00F" w:rsidR="00E254B8" w:rsidRPr="00EF261C" w:rsidRDefault="00E254B8" w:rsidP="00EA05E0">
            <w:pPr>
              <w:jc w:val="center"/>
              <w:rPr>
                <w:color w:val="000000"/>
                <w:sz w:val="16"/>
              </w:rPr>
            </w:pPr>
            <w:r w:rsidRPr="00EF261C">
              <w:rPr>
                <w:color w:val="000000"/>
                <w:sz w:val="16"/>
              </w:rPr>
              <w:sym w:font="Wingdings" w:char="F0FC"/>
            </w:r>
          </w:p>
        </w:tc>
      </w:tr>
    </w:tbl>
    <w:p w14:paraId="0ED51679" w14:textId="77777777" w:rsidR="00BA7BE0" w:rsidRPr="000E0F49" w:rsidRDefault="00BA7BE0" w:rsidP="00BA7BE0">
      <w:pPr>
        <w:rPr>
          <w:sz w:val="12"/>
        </w:rPr>
      </w:pPr>
    </w:p>
    <w:tbl>
      <w:tblPr>
        <w:tblStyle w:val="AlanaKayeTable2"/>
        <w:tblW w:w="500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59"/>
        <w:gridCol w:w="4777"/>
        <w:gridCol w:w="1412"/>
        <w:gridCol w:w="1412"/>
        <w:gridCol w:w="1412"/>
      </w:tblGrid>
      <w:tr w:rsidR="00BA7BE0" w:rsidRPr="00D50E9F" w14:paraId="13B67D15" w14:textId="77777777" w:rsidTr="00E254B8">
        <w:trPr>
          <w:cnfStyle w:val="100000000000" w:firstRow="1" w:lastRow="0" w:firstColumn="0" w:lastColumn="0" w:oddVBand="0" w:evenVBand="0" w:oddHBand="0" w:evenHBand="0" w:firstRowFirstColumn="0" w:firstRowLastColumn="0" w:lastRowFirstColumn="0" w:lastRowLastColumn="0"/>
          <w:trHeight w:hRule="exact" w:val="340"/>
        </w:trPr>
        <w:tc>
          <w:tcPr>
            <w:tcW w:w="697" w:type="pct"/>
            <w:shd w:val="clear" w:color="auto" w:fill="008C8C"/>
            <w:noWrap/>
          </w:tcPr>
          <w:p w14:paraId="1FCBE651" w14:textId="77777777" w:rsidR="00BA7BE0" w:rsidRPr="001A5BED" w:rsidRDefault="00BA7BE0" w:rsidP="00E803B1">
            <w:pPr>
              <w:jc w:val="center"/>
              <w:rPr>
                <w:color w:val="FFFFFF"/>
                <w:sz w:val="16"/>
              </w:rPr>
            </w:pPr>
            <w:r w:rsidRPr="001A5BED">
              <w:rPr>
                <w:color w:val="FFFFFF"/>
                <w:sz w:val="16"/>
              </w:rPr>
              <w:t>Unit Code</w:t>
            </w:r>
          </w:p>
        </w:tc>
        <w:tc>
          <w:tcPr>
            <w:tcW w:w="2281" w:type="pct"/>
            <w:shd w:val="clear" w:color="auto" w:fill="008C8C"/>
            <w:tcMar>
              <w:left w:w="170" w:type="dxa"/>
            </w:tcMar>
          </w:tcPr>
          <w:p w14:paraId="6C4F7A67" w14:textId="6F962E02" w:rsidR="00BA7BE0" w:rsidRPr="001A5BED" w:rsidRDefault="00BA7BE0" w:rsidP="00E803B1">
            <w:pPr>
              <w:rPr>
                <w:color w:val="FFFFFF"/>
                <w:sz w:val="16"/>
              </w:rPr>
            </w:pPr>
            <w:r>
              <w:rPr>
                <w:color w:val="FFFFFF"/>
                <w:sz w:val="16"/>
              </w:rPr>
              <w:t>Group B Elective Units</w:t>
            </w:r>
          </w:p>
        </w:tc>
        <w:tc>
          <w:tcPr>
            <w:tcW w:w="674" w:type="pct"/>
            <w:shd w:val="clear" w:color="auto" w:fill="008C8C"/>
          </w:tcPr>
          <w:p w14:paraId="4017BE79" w14:textId="77777777" w:rsidR="00BA7BE0" w:rsidRPr="001A5BED" w:rsidRDefault="00BA7BE0" w:rsidP="00E803B1">
            <w:pPr>
              <w:jc w:val="center"/>
              <w:rPr>
                <w:color w:val="FFFFFF"/>
                <w:sz w:val="16"/>
              </w:rPr>
            </w:pPr>
            <w:r>
              <w:rPr>
                <w:color w:val="FFFFFF"/>
                <w:sz w:val="16"/>
              </w:rPr>
              <w:t>Face-to-Face</w:t>
            </w:r>
          </w:p>
        </w:tc>
        <w:tc>
          <w:tcPr>
            <w:tcW w:w="674" w:type="pct"/>
            <w:shd w:val="clear" w:color="auto" w:fill="008C8C"/>
          </w:tcPr>
          <w:p w14:paraId="69F307F0" w14:textId="77777777" w:rsidR="00BA7BE0" w:rsidRPr="001A5BED" w:rsidRDefault="00BA7BE0" w:rsidP="00E803B1">
            <w:pPr>
              <w:jc w:val="center"/>
              <w:rPr>
                <w:color w:val="FFFFFF"/>
                <w:sz w:val="16"/>
              </w:rPr>
            </w:pPr>
            <w:r w:rsidRPr="001A5BED">
              <w:rPr>
                <w:color w:val="FFFFFF"/>
                <w:sz w:val="16"/>
              </w:rPr>
              <w:t>RPL</w:t>
            </w:r>
          </w:p>
        </w:tc>
        <w:tc>
          <w:tcPr>
            <w:tcW w:w="674" w:type="pct"/>
            <w:shd w:val="clear" w:color="auto" w:fill="008C8C"/>
          </w:tcPr>
          <w:p w14:paraId="2B84762E" w14:textId="77777777" w:rsidR="00BA7BE0" w:rsidRPr="001A5BED" w:rsidRDefault="00BA7BE0" w:rsidP="00E803B1">
            <w:pPr>
              <w:jc w:val="center"/>
              <w:rPr>
                <w:color w:val="FFFFFF"/>
                <w:sz w:val="16"/>
              </w:rPr>
            </w:pPr>
            <w:r w:rsidRPr="001A5BED">
              <w:rPr>
                <w:color w:val="FFFFFF"/>
                <w:sz w:val="16"/>
              </w:rPr>
              <w:t>Distance</w:t>
            </w:r>
          </w:p>
        </w:tc>
      </w:tr>
      <w:tr w:rsidR="00E254B8" w:rsidRPr="00D50E9F" w14:paraId="087F43B6" w14:textId="77777777" w:rsidTr="00E254B8">
        <w:trPr>
          <w:trHeight w:val="18"/>
        </w:trPr>
        <w:tc>
          <w:tcPr>
            <w:tcW w:w="697" w:type="pct"/>
            <w:shd w:val="clear" w:color="auto" w:fill="FFFFFF"/>
            <w:noWrap/>
          </w:tcPr>
          <w:p w14:paraId="3DCC1C89" w14:textId="15553F96" w:rsidR="00E254B8" w:rsidRPr="00EF261C" w:rsidRDefault="00E254B8" w:rsidP="00E254B8">
            <w:pPr>
              <w:jc w:val="center"/>
              <w:rPr>
                <w:rFonts w:cstheme="minorHAnsi"/>
                <w:sz w:val="16"/>
              </w:rPr>
            </w:pPr>
            <w:r>
              <w:rPr>
                <w:rFonts w:cstheme="minorHAnsi"/>
                <w:sz w:val="16"/>
              </w:rPr>
              <w:t>BSBMGT516</w:t>
            </w:r>
          </w:p>
        </w:tc>
        <w:tc>
          <w:tcPr>
            <w:tcW w:w="2281" w:type="pct"/>
            <w:shd w:val="clear" w:color="auto" w:fill="FFFFFF"/>
            <w:tcMar>
              <w:left w:w="170" w:type="dxa"/>
            </w:tcMar>
          </w:tcPr>
          <w:p w14:paraId="5A6F7987" w14:textId="02752640" w:rsidR="00E254B8" w:rsidRDefault="00E254B8" w:rsidP="00E803B1">
            <w:pPr>
              <w:rPr>
                <w:rFonts w:cstheme="minorHAnsi"/>
                <w:sz w:val="16"/>
              </w:rPr>
            </w:pPr>
            <w:r>
              <w:rPr>
                <w:rFonts w:cstheme="minorHAnsi"/>
                <w:sz w:val="16"/>
              </w:rPr>
              <w:t>Facilitate continuous improvement</w:t>
            </w:r>
          </w:p>
        </w:tc>
        <w:tc>
          <w:tcPr>
            <w:tcW w:w="674" w:type="pct"/>
            <w:shd w:val="clear" w:color="auto" w:fill="FFFFFF"/>
          </w:tcPr>
          <w:p w14:paraId="01960E02" w14:textId="2CA60076" w:rsidR="00E254B8" w:rsidRPr="00EF261C" w:rsidRDefault="00E254B8" w:rsidP="00E803B1">
            <w:pPr>
              <w:jc w:val="center"/>
              <w:rPr>
                <w:color w:val="000000"/>
                <w:sz w:val="16"/>
              </w:rPr>
            </w:pPr>
            <w:r w:rsidRPr="00EF261C">
              <w:rPr>
                <w:color w:val="000000"/>
                <w:sz w:val="16"/>
              </w:rPr>
              <w:sym w:font="Wingdings" w:char="F0FC"/>
            </w:r>
          </w:p>
        </w:tc>
        <w:tc>
          <w:tcPr>
            <w:tcW w:w="674" w:type="pct"/>
            <w:shd w:val="clear" w:color="auto" w:fill="FFFFFF"/>
          </w:tcPr>
          <w:p w14:paraId="74A40DA8" w14:textId="776C8AA7" w:rsidR="00E254B8" w:rsidRPr="00EF261C" w:rsidRDefault="00E254B8" w:rsidP="00E803B1">
            <w:pPr>
              <w:jc w:val="center"/>
              <w:rPr>
                <w:color w:val="000000"/>
                <w:sz w:val="16"/>
              </w:rPr>
            </w:pPr>
            <w:r w:rsidRPr="00EF261C">
              <w:rPr>
                <w:color w:val="000000"/>
                <w:sz w:val="16"/>
              </w:rPr>
              <w:sym w:font="Wingdings" w:char="F0FC"/>
            </w:r>
          </w:p>
        </w:tc>
        <w:tc>
          <w:tcPr>
            <w:tcW w:w="674" w:type="pct"/>
            <w:shd w:val="clear" w:color="auto" w:fill="FFFFFF"/>
          </w:tcPr>
          <w:p w14:paraId="54ACE94E" w14:textId="1A101611" w:rsidR="00E254B8" w:rsidRPr="00EF261C" w:rsidRDefault="00E254B8" w:rsidP="00E803B1">
            <w:pPr>
              <w:jc w:val="center"/>
              <w:rPr>
                <w:color w:val="000000"/>
                <w:sz w:val="16"/>
              </w:rPr>
            </w:pPr>
            <w:r w:rsidRPr="00EF261C">
              <w:rPr>
                <w:color w:val="000000"/>
                <w:sz w:val="16"/>
              </w:rPr>
              <w:sym w:font="Wingdings" w:char="F0FC"/>
            </w:r>
          </w:p>
        </w:tc>
      </w:tr>
      <w:tr w:rsidR="00E254B8" w:rsidRPr="00D50E9F" w14:paraId="6351B0CA" w14:textId="77777777" w:rsidTr="00E254B8">
        <w:trPr>
          <w:trHeight w:val="18"/>
        </w:trPr>
        <w:tc>
          <w:tcPr>
            <w:tcW w:w="697" w:type="pct"/>
            <w:shd w:val="clear" w:color="auto" w:fill="FFFFFF"/>
            <w:noWrap/>
          </w:tcPr>
          <w:p w14:paraId="14663C04" w14:textId="4FF81F68" w:rsidR="00E254B8" w:rsidRDefault="00E254B8" w:rsidP="00E254B8">
            <w:pPr>
              <w:jc w:val="center"/>
              <w:rPr>
                <w:rFonts w:cstheme="minorHAnsi"/>
                <w:sz w:val="16"/>
              </w:rPr>
            </w:pPr>
            <w:r>
              <w:rPr>
                <w:rFonts w:cstheme="minorHAnsi"/>
                <w:sz w:val="16"/>
              </w:rPr>
              <w:t>BSBSUS501</w:t>
            </w:r>
          </w:p>
        </w:tc>
        <w:tc>
          <w:tcPr>
            <w:tcW w:w="2281" w:type="pct"/>
            <w:shd w:val="clear" w:color="auto" w:fill="FFFFFF"/>
            <w:tcMar>
              <w:left w:w="170" w:type="dxa"/>
            </w:tcMar>
          </w:tcPr>
          <w:p w14:paraId="3119267E" w14:textId="7CD9B371" w:rsidR="00E254B8" w:rsidRDefault="00E254B8" w:rsidP="00E803B1">
            <w:pPr>
              <w:rPr>
                <w:rFonts w:cstheme="minorHAnsi"/>
                <w:sz w:val="16"/>
              </w:rPr>
            </w:pPr>
            <w:r>
              <w:rPr>
                <w:rFonts w:cstheme="minorHAnsi"/>
                <w:sz w:val="16"/>
              </w:rPr>
              <w:t>Develop workplace policy and procedures for sustainability</w:t>
            </w:r>
          </w:p>
        </w:tc>
        <w:tc>
          <w:tcPr>
            <w:tcW w:w="674" w:type="pct"/>
            <w:shd w:val="clear" w:color="auto" w:fill="FFFFFF"/>
          </w:tcPr>
          <w:p w14:paraId="2CE67CBA" w14:textId="38D64661" w:rsidR="00E254B8" w:rsidRPr="00EF261C" w:rsidRDefault="00E254B8" w:rsidP="00E803B1">
            <w:pPr>
              <w:jc w:val="center"/>
              <w:rPr>
                <w:color w:val="000000"/>
                <w:sz w:val="16"/>
              </w:rPr>
            </w:pPr>
            <w:r w:rsidRPr="00EF261C">
              <w:rPr>
                <w:color w:val="000000"/>
                <w:sz w:val="16"/>
              </w:rPr>
              <w:sym w:font="Wingdings" w:char="F0FC"/>
            </w:r>
          </w:p>
        </w:tc>
        <w:tc>
          <w:tcPr>
            <w:tcW w:w="674" w:type="pct"/>
            <w:shd w:val="clear" w:color="auto" w:fill="FFFFFF"/>
          </w:tcPr>
          <w:p w14:paraId="214BB3F4" w14:textId="0F56C2D8" w:rsidR="00E254B8" w:rsidRPr="00EF261C" w:rsidRDefault="00E254B8" w:rsidP="00E803B1">
            <w:pPr>
              <w:jc w:val="center"/>
              <w:rPr>
                <w:color w:val="000000"/>
                <w:sz w:val="16"/>
              </w:rPr>
            </w:pPr>
            <w:r w:rsidRPr="00EF261C">
              <w:rPr>
                <w:color w:val="000000"/>
                <w:sz w:val="16"/>
              </w:rPr>
              <w:sym w:font="Wingdings" w:char="F0FC"/>
            </w:r>
          </w:p>
        </w:tc>
        <w:tc>
          <w:tcPr>
            <w:tcW w:w="674" w:type="pct"/>
            <w:shd w:val="clear" w:color="auto" w:fill="FFFFFF"/>
          </w:tcPr>
          <w:p w14:paraId="70435CF2" w14:textId="0E7D9683" w:rsidR="00E254B8" w:rsidRPr="00EF261C" w:rsidRDefault="00E254B8" w:rsidP="00E803B1">
            <w:pPr>
              <w:jc w:val="center"/>
              <w:rPr>
                <w:color w:val="000000"/>
                <w:sz w:val="16"/>
              </w:rPr>
            </w:pPr>
            <w:r w:rsidRPr="00EF261C">
              <w:rPr>
                <w:color w:val="000000"/>
                <w:sz w:val="16"/>
              </w:rPr>
              <w:sym w:font="Wingdings" w:char="F0FC"/>
            </w:r>
          </w:p>
        </w:tc>
      </w:tr>
    </w:tbl>
    <w:p w14:paraId="0CC0DE0A" w14:textId="77777777" w:rsidR="00EA05E0" w:rsidRPr="000E0F49" w:rsidRDefault="00EA05E0">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EA05E0">
        <w:trPr>
          <w:trHeight w:val="594"/>
          <w:tblCellSpacing w:w="56" w:type="dxa"/>
        </w:trPr>
        <w:tc>
          <w:tcPr>
            <w:tcW w:w="10217" w:type="dxa"/>
            <w:shd w:val="clear" w:color="auto" w:fill="FFFFFF" w:themeFill="background1"/>
          </w:tcPr>
          <w:p w14:paraId="64F6AA50" w14:textId="77777777" w:rsidR="00EA05E0" w:rsidRPr="004A351C" w:rsidRDefault="00EA05E0" w:rsidP="00361E16">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Please contact our office for further infor</w:t>
            </w:r>
            <w:bookmarkStart w:id="0" w:name="_GoBack"/>
            <w:bookmarkEnd w:id="0"/>
            <w:r w:rsidRPr="00EA05E0">
              <w:rPr>
                <w:sz w:val="16"/>
                <w:lang w:val="en-AU"/>
              </w:rPr>
              <w:t xml:space="preserve">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18D47" w14:textId="77777777" w:rsidR="00F24EAC" w:rsidRDefault="00F24EAC" w:rsidP="00362600">
      <w:r>
        <w:separator/>
      </w:r>
    </w:p>
  </w:endnote>
  <w:endnote w:type="continuationSeparator" w:id="0">
    <w:p w14:paraId="1D451687" w14:textId="77777777" w:rsidR="00F24EAC" w:rsidRDefault="00F24EAC"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5F4B08" w:rsidRDefault="00F24EAC">
    <w:pPr>
      <w:pStyle w:val="Footer"/>
    </w:pPr>
    <w:sdt>
      <w:sdtPr>
        <w:id w:val="-1226985714"/>
        <w:placeholder>
          <w:docPart w:val="EE14C333086FF54D94167111766CCB2B"/>
        </w:placeholder>
        <w:temporary/>
        <w:showingPlcHdr/>
      </w:sdtPr>
      <w:sdtEndPr/>
      <w:sdtContent>
        <w:r w:rsidR="005F4B08">
          <w:t>[Type text]</w:t>
        </w:r>
      </w:sdtContent>
    </w:sdt>
    <w:r w:rsidR="005F4B08">
      <w:ptab w:relativeTo="margin" w:alignment="center" w:leader="none"/>
    </w:r>
    <w:sdt>
      <w:sdtPr>
        <w:id w:val="543334976"/>
        <w:placeholder>
          <w:docPart w:val="5010BA051749A74FACBC701CBF079AF0"/>
        </w:placeholder>
        <w:temporary/>
        <w:showingPlcHdr/>
      </w:sdtPr>
      <w:sdtEndPr/>
      <w:sdtContent>
        <w:r w:rsidR="005F4B08">
          <w:t>[Type text]</w:t>
        </w:r>
      </w:sdtContent>
    </w:sdt>
    <w:r w:rsidR="005F4B08">
      <w:ptab w:relativeTo="margin" w:alignment="right" w:leader="none"/>
    </w:r>
    <w:sdt>
      <w:sdtPr>
        <w:id w:val="-1072888025"/>
        <w:placeholder>
          <w:docPart w:val="AD2E15AC7C6FAF41997233E306CE4ACA"/>
        </w:placeholder>
        <w:temporary/>
        <w:showingPlcHdr/>
      </w:sdtPr>
      <w:sdtEndPr/>
      <w:sdtContent>
        <w:r w:rsidR="005F4B08">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0BE4B5B6" w:rsidR="005F4B08" w:rsidRPr="00BA08A6" w:rsidRDefault="005F4B08"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Pr>
        <w:rFonts w:ascii="Arial" w:hAnsi="Arial"/>
        <w:b/>
        <w:color w:val="FFFFFF" w:themeColor="background1"/>
        <w:sz w:val="24"/>
        <w:szCs w:val="24"/>
        <w:lang w:val="en-AU"/>
      </w:rPr>
      <w:t xml:space="preserve"> | CRICOS No. </w:t>
    </w:r>
    <w:r w:rsidR="008978E7">
      <w:rPr>
        <w:rFonts w:ascii="Arial" w:hAnsi="Arial"/>
        <w:b/>
        <w:color w:val="FFFFFF" w:themeColor="background1"/>
        <w:sz w:val="24"/>
        <w:szCs w:val="24"/>
        <w:lang w:val="en-AU"/>
      </w:rPr>
      <w:t>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D1C7D" w14:textId="77777777" w:rsidR="00F24EAC" w:rsidRDefault="00F24EAC" w:rsidP="00362600">
      <w:r>
        <w:separator/>
      </w:r>
    </w:p>
  </w:footnote>
  <w:footnote w:type="continuationSeparator" w:id="0">
    <w:p w14:paraId="0AC1D5D1" w14:textId="77777777" w:rsidR="00F24EAC" w:rsidRDefault="00F24EAC"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5F4B08" w:rsidRDefault="005F4B08">
    <w:pPr>
      <w:pStyle w:val="Header"/>
    </w:pPr>
    <w:r>
      <w:rPr>
        <w:noProof/>
      </w:rPr>
      <w:drawing>
        <wp:anchor distT="0" distB="0" distL="114300" distR="114300" simplePos="0" relativeHeight="251658240" behindDoc="1" locked="0" layoutInCell="1" allowOverlap="1" wp14:anchorId="3F066C4E" wp14:editId="1AFA9B01">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637D3252" wp14:editId="361A85E1">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9FF1C3" w14:textId="04BFDB9C" w:rsidR="005F4B08" w:rsidRPr="002A5A00" w:rsidRDefault="005F4B08" w:rsidP="00DF4B3D">
                          <w:pPr>
                            <w:rPr>
                              <w:b/>
                              <w:sz w:val="26"/>
                              <w:szCs w:val="26"/>
                            </w:rPr>
                          </w:pPr>
                          <w:r>
                            <w:rPr>
                              <w:b/>
                              <w:sz w:val="26"/>
                              <w:szCs w:val="26"/>
                            </w:rPr>
                            <w:t>BSB51615 Diploma of Quality Auditing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04BFDB9C" w:rsidR="005F4B08" w:rsidRPr="002A5A00" w:rsidRDefault="005F4B08" w:rsidP="00DF4B3D">
                    <w:pPr>
                      <w:rPr>
                        <w:b/>
                        <w:sz w:val="26"/>
                        <w:szCs w:val="26"/>
                      </w:rPr>
                    </w:pPr>
                    <w:r>
                      <w:rPr>
                        <w:b/>
                        <w:sz w:val="26"/>
                        <w:szCs w:val="26"/>
                      </w:rPr>
                      <w:t>BSB51615 Diploma of Quality Auditing</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5F4B08" w:rsidRDefault="005F4B08">
    <w:pPr>
      <w:pStyle w:val="Header"/>
    </w:pPr>
    <w:r>
      <w:rPr>
        <w:noProof/>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5A"/>
    <w:rsid w:val="000015CE"/>
    <w:rsid w:val="00014DB9"/>
    <w:rsid w:val="0001609F"/>
    <w:rsid w:val="000453F9"/>
    <w:rsid w:val="000468DD"/>
    <w:rsid w:val="000521A3"/>
    <w:rsid w:val="00062EB2"/>
    <w:rsid w:val="0008695D"/>
    <w:rsid w:val="000B0E99"/>
    <w:rsid w:val="000C0860"/>
    <w:rsid w:val="000C31F7"/>
    <w:rsid w:val="000D11AC"/>
    <w:rsid w:val="000E0F49"/>
    <w:rsid w:val="000E51D9"/>
    <w:rsid w:val="000F0047"/>
    <w:rsid w:val="000F2A9B"/>
    <w:rsid w:val="00100506"/>
    <w:rsid w:val="00105158"/>
    <w:rsid w:val="00112D5C"/>
    <w:rsid w:val="001215DF"/>
    <w:rsid w:val="00124410"/>
    <w:rsid w:val="00131460"/>
    <w:rsid w:val="00164F63"/>
    <w:rsid w:val="00185F87"/>
    <w:rsid w:val="00186039"/>
    <w:rsid w:val="001A2C7B"/>
    <w:rsid w:val="001A5BED"/>
    <w:rsid w:val="001C1FE4"/>
    <w:rsid w:val="001D3B9E"/>
    <w:rsid w:val="001D46E1"/>
    <w:rsid w:val="001F164B"/>
    <w:rsid w:val="00200C59"/>
    <w:rsid w:val="0020487A"/>
    <w:rsid w:val="00215E74"/>
    <w:rsid w:val="00224654"/>
    <w:rsid w:val="00237FAF"/>
    <w:rsid w:val="002636B1"/>
    <w:rsid w:val="00274CA2"/>
    <w:rsid w:val="0028128C"/>
    <w:rsid w:val="00291178"/>
    <w:rsid w:val="00295375"/>
    <w:rsid w:val="002A5A00"/>
    <w:rsid w:val="002B60C8"/>
    <w:rsid w:val="002E5798"/>
    <w:rsid w:val="00302E1C"/>
    <w:rsid w:val="00303566"/>
    <w:rsid w:val="00312524"/>
    <w:rsid w:val="003229CD"/>
    <w:rsid w:val="003320C9"/>
    <w:rsid w:val="0033273A"/>
    <w:rsid w:val="00333008"/>
    <w:rsid w:val="00335B5D"/>
    <w:rsid w:val="0034616D"/>
    <w:rsid w:val="00361E16"/>
    <w:rsid w:val="00362600"/>
    <w:rsid w:val="00362686"/>
    <w:rsid w:val="0037286A"/>
    <w:rsid w:val="00372D36"/>
    <w:rsid w:val="00376B69"/>
    <w:rsid w:val="00376C0E"/>
    <w:rsid w:val="00377DC8"/>
    <w:rsid w:val="00380988"/>
    <w:rsid w:val="003A3BE5"/>
    <w:rsid w:val="003A61B3"/>
    <w:rsid w:val="003B0E20"/>
    <w:rsid w:val="003B7FA1"/>
    <w:rsid w:val="003D71C3"/>
    <w:rsid w:val="003E1F82"/>
    <w:rsid w:val="003E5D69"/>
    <w:rsid w:val="003F4281"/>
    <w:rsid w:val="00402A19"/>
    <w:rsid w:val="00411B48"/>
    <w:rsid w:val="00416E5A"/>
    <w:rsid w:val="00421E7F"/>
    <w:rsid w:val="004245F2"/>
    <w:rsid w:val="00434E31"/>
    <w:rsid w:val="00453B8F"/>
    <w:rsid w:val="004738AF"/>
    <w:rsid w:val="00491EFC"/>
    <w:rsid w:val="004A035D"/>
    <w:rsid w:val="004A351C"/>
    <w:rsid w:val="004A5916"/>
    <w:rsid w:val="004E0797"/>
    <w:rsid w:val="004E0F4E"/>
    <w:rsid w:val="00502D4C"/>
    <w:rsid w:val="0053369D"/>
    <w:rsid w:val="005853BF"/>
    <w:rsid w:val="005A3A26"/>
    <w:rsid w:val="005B062E"/>
    <w:rsid w:val="005B0875"/>
    <w:rsid w:val="005B1F48"/>
    <w:rsid w:val="005B2D81"/>
    <w:rsid w:val="005D389D"/>
    <w:rsid w:val="005E496A"/>
    <w:rsid w:val="005E6A55"/>
    <w:rsid w:val="005F4B08"/>
    <w:rsid w:val="00604983"/>
    <w:rsid w:val="00607D08"/>
    <w:rsid w:val="00622458"/>
    <w:rsid w:val="006460E9"/>
    <w:rsid w:val="00652638"/>
    <w:rsid w:val="006550CF"/>
    <w:rsid w:val="006708E4"/>
    <w:rsid w:val="0067675A"/>
    <w:rsid w:val="0068132D"/>
    <w:rsid w:val="006915A5"/>
    <w:rsid w:val="006917C3"/>
    <w:rsid w:val="006C579E"/>
    <w:rsid w:val="007014E2"/>
    <w:rsid w:val="007079EC"/>
    <w:rsid w:val="00712AB7"/>
    <w:rsid w:val="00714D6F"/>
    <w:rsid w:val="007636E8"/>
    <w:rsid w:val="007744C8"/>
    <w:rsid w:val="0078300A"/>
    <w:rsid w:val="00796CF9"/>
    <w:rsid w:val="00797A9C"/>
    <w:rsid w:val="007E2235"/>
    <w:rsid w:val="007F0140"/>
    <w:rsid w:val="007F25E3"/>
    <w:rsid w:val="00812A66"/>
    <w:rsid w:val="00834A5D"/>
    <w:rsid w:val="008526C5"/>
    <w:rsid w:val="0086334C"/>
    <w:rsid w:val="008978E7"/>
    <w:rsid w:val="008D5797"/>
    <w:rsid w:val="008E1172"/>
    <w:rsid w:val="008E34DB"/>
    <w:rsid w:val="008F42CC"/>
    <w:rsid w:val="008F5611"/>
    <w:rsid w:val="008F6BCB"/>
    <w:rsid w:val="008F711A"/>
    <w:rsid w:val="00914651"/>
    <w:rsid w:val="009277FB"/>
    <w:rsid w:val="0093099B"/>
    <w:rsid w:val="00936B64"/>
    <w:rsid w:val="009436A1"/>
    <w:rsid w:val="00971851"/>
    <w:rsid w:val="0099122E"/>
    <w:rsid w:val="00992480"/>
    <w:rsid w:val="009A312E"/>
    <w:rsid w:val="009E7A9C"/>
    <w:rsid w:val="009F71ED"/>
    <w:rsid w:val="00A00B27"/>
    <w:rsid w:val="00A0471C"/>
    <w:rsid w:val="00A1393E"/>
    <w:rsid w:val="00A222EE"/>
    <w:rsid w:val="00A34FB9"/>
    <w:rsid w:val="00A53FAA"/>
    <w:rsid w:val="00A57989"/>
    <w:rsid w:val="00A85434"/>
    <w:rsid w:val="00AA1BC0"/>
    <w:rsid w:val="00AB64CC"/>
    <w:rsid w:val="00AD6B89"/>
    <w:rsid w:val="00AE14AF"/>
    <w:rsid w:val="00AE7773"/>
    <w:rsid w:val="00AF7E22"/>
    <w:rsid w:val="00B15A98"/>
    <w:rsid w:val="00B33084"/>
    <w:rsid w:val="00B44F45"/>
    <w:rsid w:val="00B530C1"/>
    <w:rsid w:val="00B56997"/>
    <w:rsid w:val="00B75C48"/>
    <w:rsid w:val="00B76E20"/>
    <w:rsid w:val="00B82704"/>
    <w:rsid w:val="00B86CC2"/>
    <w:rsid w:val="00BA08A6"/>
    <w:rsid w:val="00BA7BE0"/>
    <w:rsid w:val="00BC224F"/>
    <w:rsid w:val="00BD7C26"/>
    <w:rsid w:val="00BE3D7A"/>
    <w:rsid w:val="00BF2685"/>
    <w:rsid w:val="00C32387"/>
    <w:rsid w:val="00C367DF"/>
    <w:rsid w:val="00C42293"/>
    <w:rsid w:val="00C511AA"/>
    <w:rsid w:val="00C708F0"/>
    <w:rsid w:val="00C8362B"/>
    <w:rsid w:val="00C95B71"/>
    <w:rsid w:val="00CA1507"/>
    <w:rsid w:val="00CB2CBF"/>
    <w:rsid w:val="00CE0421"/>
    <w:rsid w:val="00CE3772"/>
    <w:rsid w:val="00CF7696"/>
    <w:rsid w:val="00D14279"/>
    <w:rsid w:val="00D403D9"/>
    <w:rsid w:val="00D4359C"/>
    <w:rsid w:val="00D44579"/>
    <w:rsid w:val="00D4666D"/>
    <w:rsid w:val="00D55C3F"/>
    <w:rsid w:val="00DA3692"/>
    <w:rsid w:val="00DA6865"/>
    <w:rsid w:val="00DA68B4"/>
    <w:rsid w:val="00DC1588"/>
    <w:rsid w:val="00DC5CA9"/>
    <w:rsid w:val="00DD14A9"/>
    <w:rsid w:val="00DD4029"/>
    <w:rsid w:val="00DD50DB"/>
    <w:rsid w:val="00DD5FC8"/>
    <w:rsid w:val="00DE1866"/>
    <w:rsid w:val="00DF4B3D"/>
    <w:rsid w:val="00E05AC3"/>
    <w:rsid w:val="00E10FDD"/>
    <w:rsid w:val="00E254B8"/>
    <w:rsid w:val="00E25E87"/>
    <w:rsid w:val="00E32CCA"/>
    <w:rsid w:val="00E414DD"/>
    <w:rsid w:val="00E43594"/>
    <w:rsid w:val="00E4648D"/>
    <w:rsid w:val="00E65410"/>
    <w:rsid w:val="00E70C3E"/>
    <w:rsid w:val="00E7315D"/>
    <w:rsid w:val="00E803B1"/>
    <w:rsid w:val="00E839DB"/>
    <w:rsid w:val="00E916FA"/>
    <w:rsid w:val="00EA05E0"/>
    <w:rsid w:val="00EA5DF4"/>
    <w:rsid w:val="00EB5060"/>
    <w:rsid w:val="00EC5267"/>
    <w:rsid w:val="00ED173F"/>
    <w:rsid w:val="00ED558A"/>
    <w:rsid w:val="00EF261C"/>
    <w:rsid w:val="00F07996"/>
    <w:rsid w:val="00F162FB"/>
    <w:rsid w:val="00F24EAC"/>
    <w:rsid w:val="00F269BB"/>
    <w:rsid w:val="00F309BD"/>
    <w:rsid w:val="00F3547C"/>
    <w:rsid w:val="00F37A64"/>
    <w:rsid w:val="00F626BE"/>
    <w:rsid w:val="00F65CAD"/>
    <w:rsid w:val="00F66F29"/>
    <w:rsid w:val="00F7769F"/>
    <w:rsid w:val="00F84AA4"/>
    <w:rsid w:val="00FA5391"/>
    <w:rsid w:val="00FA5780"/>
    <w:rsid w:val="00FB28F8"/>
    <w:rsid w:val="00FC0EC6"/>
    <w:rsid w:val="00FD2086"/>
    <w:rsid w:val="00FD4564"/>
    <w:rsid w:val="00FD5711"/>
    <w:rsid w:val="00FE020B"/>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51D941D4-3AEA-D44A-AC7F-08C046A51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8978E7"/>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2341DD"/>
    <w:rsid w:val="00463129"/>
    <w:rsid w:val="00482826"/>
    <w:rsid w:val="004B24A0"/>
    <w:rsid w:val="004C6A3D"/>
    <w:rsid w:val="004E737D"/>
    <w:rsid w:val="005146CC"/>
    <w:rsid w:val="005270C8"/>
    <w:rsid w:val="0056779C"/>
    <w:rsid w:val="005739CC"/>
    <w:rsid w:val="005C23C4"/>
    <w:rsid w:val="005D0222"/>
    <w:rsid w:val="006138AC"/>
    <w:rsid w:val="00655452"/>
    <w:rsid w:val="00753393"/>
    <w:rsid w:val="00775735"/>
    <w:rsid w:val="008A4453"/>
    <w:rsid w:val="008A600F"/>
    <w:rsid w:val="008B7A32"/>
    <w:rsid w:val="008C5A4D"/>
    <w:rsid w:val="00924E2E"/>
    <w:rsid w:val="009702FB"/>
    <w:rsid w:val="009A1210"/>
    <w:rsid w:val="009F15BA"/>
    <w:rsid w:val="009F3BE9"/>
    <w:rsid w:val="00A15BA5"/>
    <w:rsid w:val="00A32081"/>
    <w:rsid w:val="00A76072"/>
    <w:rsid w:val="00AA410B"/>
    <w:rsid w:val="00AD30C0"/>
    <w:rsid w:val="00AD4BAA"/>
    <w:rsid w:val="00AF361F"/>
    <w:rsid w:val="00B450E9"/>
    <w:rsid w:val="00B6378B"/>
    <w:rsid w:val="00B6782B"/>
    <w:rsid w:val="00B86BE9"/>
    <w:rsid w:val="00BB2458"/>
    <w:rsid w:val="00BF0DA8"/>
    <w:rsid w:val="00C427B5"/>
    <w:rsid w:val="00CE557B"/>
    <w:rsid w:val="00E4365F"/>
    <w:rsid w:val="00EE5371"/>
    <w:rsid w:val="00F46ECB"/>
    <w:rsid w:val="00FD702C"/>
    <w:rsid w:val="00FF6F3D"/>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BCFAD-6348-4C6E-A338-F943B9A482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736FB-30EF-4F84-9C4B-4E7CFA79DA36}">
  <ds:schemaRefs>
    <ds:schemaRef ds:uri="http://schemas.microsoft.com/sharepoint/v3/contenttype/forms"/>
  </ds:schemaRefs>
</ds:datastoreItem>
</file>

<file path=customXml/itemProps3.xml><?xml version="1.0" encoding="utf-8"?>
<ds:datastoreItem xmlns:ds="http://schemas.openxmlformats.org/officeDocument/2006/customXml" ds:itemID="{1E1E6D63-7A03-4CAC-A7AB-F112B7788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8B3CD1-D674-D847-8B55-C3A4C763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2017-08-20T02:48:00Z</cp:lastPrinted>
  <dcterms:created xsi:type="dcterms:W3CDTF">2019-11-19T02:39:00Z</dcterms:created>
  <dcterms:modified xsi:type="dcterms:W3CDTF">2019-11-19T02:39:00Z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